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C49" w:rsidRPr="002B7503" w:rsidRDefault="00C03C49" w:rsidP="00C03C49">
      <w:pPr>
        <w:jc w:val="center"/>
        <w:rPr>
          <w:b/>
          <w:bCs/>
        </w:rPr>
      </w:pPr>
      <w:bookmarkStart w:id="0" w:name="_GoBack"/>
      <w:bookmarkEnd w:id="0"/>
      <w:r w:rsidRPr="002B7503">
        <w:rPr>
          <w:b/>
          <w:bCs/>
        </w:rPr>
        <w:t>ST. PETER’S SEMINARY / KING’S UNIVERSITY COLLEGE</w:t>
      </w:r>
    </w:p>
    <w:p w:rsidR="00C03C49" w:rsidRPr="002B7503" w:rsidRDefault="00C03C49" w:rsidP="00C03C49">
      <w:pPr>
        <w:jc w:val="center"/>
        <w:rPr>
          <w:b/>
          <w:bCs/>
          <w:lang w:val="en-GB"/>
        </w:rPr>
      </w:pPr>
      <w:r w:rsidRPr="002B7503">
        <w:rPr>
          <w:b/>
          <w:bCs/>
        </w:rPr>
        <w:t xml:space="preserve">at </w:t>
      </w:r>
      <w:r w:rsidRPr="002B7503">
        <w:rPr>
          <w:b/>
          <w:bCs/>
          <w:i/>
          <w:iCs/>
        </w:rPr>
        <w:t>The</w:t>
      </w:r>
      <w:r w:rsidRPr="002B7503">
        <w:rPr>
          <w:b/>
          <w:bCs/>
        </w:rPr>
        <w:t xml:space="preserve"> University </w:t>
      </w:r>
      <w:r w:rsidRPr="002B7503">
        <w:rPr>
          <w:b/>
          <w:bCs/>
          <w:i/>
          <w:iCs/>
        </w:rPr>
        <w:t>of</w:t>
      </w:r>
      <w:r w:rsidRPr="002B7503">
        <w:rPr>
          <w:b/>
          <w:bCs/>
        </w:rPr>
        <w:t xml:space="preserve"> Western Ontario</w:t>
      </w:r>
    </w:p>
    <w:p w:rsidR="00C03C49" w:rsidRPr="002B7503" w:rsidRDefault="00C03C49" w:rsidP="00C03C49">
      <w:pPr>
        <w:jc w:val="center"/>
        <w:rPr>
          <w:b/>
          <w:bCs/>
          <w:lang w:val="en-GB"/>
        </w:rPr>
      </w:pPr>
      <w:r>
        <w:rPr>
          <w:b/>
          <w:bCs/>
          <w:lang w:val="en-GB"/>
        </w:rPr>
        <w:t>Winter 2017</w:t>
      </w:r>
    </w:p>
    <w:p w:rsidR="00C03C49" w:rsidRPr="002B7503" w:rsidRDefault="00C03C49" w:rsidP="00C03C49">
      <w:pPr>
        <w:jc w:val="center"/>
        <w:rPr>
          <w:b/>
          <w:bCs/>
          <w:lang w:val="en-GB"/>
        </w:rPr>
      </w:pPr>
    </w:p>
    <w:p w:rsidR="00C03C49" w:rsidRPr="002B7503" w:rsidRDefault="00C03C49" w:rsidP="00C03C49">
      <w:pPr>
        <w:jc w:val="center"/>
        <w:rPr>
          <w:b/>
          <w:bCs/>
          <w:lang w:val="en-GB"/>
        </w:rPr>
      </w:pPr>
      <w:r w:rsidRPr="002B7503">
        <w:rPr>
          <w:b/>
          <w:bCs/>
          <w:lang w:val="en-GB"/>
        </w:rPr>
        <w:t>Systematic Theology 5212B</w:t>
      </w:r>
      <w:r w:rsidR="005A175B">
        <w:rPr>
          <w:b/>
          <w:bCs/>
          <w:lang w:val="en-GB"/>
        </w:rPr>
        <w:t xml:space="preserve"> - </w:t>
      </w:r>
      <w:r w:rsidRPr="002B7503">
        <w:rPr>
          <w:b/>
          <w:bCs/>
          <w:lang w:val="en-GB"/>
        </w:rPr>
        <w:t>Doctrine of God</w:t>
      </w:r>
    </w:p>
    <w:p w:rsidR="00C03C49" w:rsidRPr="002B7503" w:rsidRDefault="00C03C49" w:rsidP="00C03C49">
      <w:pPr>
        <w:jc w:val="center"/>
        <w:rPr>
          <w:b/>
          <w:bCs/>
        </w:rPr>
      </w:pPr>
      <w:r>
        <w:rPr>
          <w:b/>
          <w:bCs/>
        </w:rPr>
        <w:t>Mon</w:t>
      </w:r>
      <w:r w:rsidRPr="002B7503">
        <w:rPr>
          <w:b/>
          <w:bCs/>
        </w:rPr>
        <w:t>day</w:t>
      </w:r>
      <w:r>
        <w:rPr>
          <w:b/>
          <w:bCs/>
        </w:rPr>
        <w:t xml:space="preserve"> and Wednesday 11:30-12:45</w:t>
      </w:r>
      <w:r w:rsidRPr="002B7503">
        <w:rPr>
          <w:b/>
          <w:bCs/>
        </w:rPr>
        <w:t xml:space="preserve">, </w:t>
      </w:r>
      <w:r>
        <w:rPr>
          <w:b/>
          <w:bCs/>
        </w:rPr>
        <w:t>AH1</w:t>
      </w:r>
    </w:p>
    <w:p w:rsidR="00C03C49" w:rsidRPr="002B7503" w:rsidRDefault="00C03C49" w:rsidP="00C03C49">
      <w:pPr>
        <w:rPr>
          <w:b/>
          <w:bCs/>
        </w:rPr>
      </w:pPr>
    </w:p>
    <w:p w:rsidR="00C03C49" w:rsidRPr="002B7503" w:rsidRDefault="00C03C49" w:rsidP="00C03C49">
      <w:pPr>
        <w:tabs>
          <w:tab w:val="center" w:pos="4680"/>
        </w:tabs>
      </w:pPr>
      <w:r w:rsidRPr="002B7503">
        <w:rPr>
          <w:b/>
          <w:bCs/>
        </w:rPr>
        <w:tab/>
      </w:r>
      <w:r w:rsidRPr="002B7503">
        <w:rPr>
          <w:bCs/>
        </w:rPr>
        <w:t>John Dool, 432-5726, x272, jdool@uwo.ca</w:t>
      </w:r>
      <w:r w:rsidRPr="002B7503">
        <w:t xml:space="preserve"> </w:t>
      </w:r>
    </w:p>
    <w:p w:rsidR="00C03C49" w:rsidRPr="002B7503" w:rsidRDefault="00C03C49" w:rsidP="00C03C49">
      <w:pPr>
        <w:tabs>
          <w:tab w:val="center" w:pos="4680"/>
        </w:tabs>
        <w:jc w:val="both"/>
      </w:pPr>
      <w:r w:rsidRPr="002B7503">
        <w:rPr>
          <w:b/>
          <w:bCs/>
        </w:rPr>
        <w:tab/>
      </w:r>
      <w:r w:rsidRPr="002B7503">
        <w:t>Office hours by Appointment</w:t>
      </w:r>
      <w:r w:rsidRPr="002B7503">
        <w:rPr>
          <w:b/>
          <w:bCs/>
        </w:rPr>
        <w:t xml:space="preserve"> </w:t>
      </w:r>
      <w:r w:rsidRPr="002B7503">
        <w:t xml:space="preserve"> </w:t>
      </w:r>
    </w:p>
    <w:p w:rsidR="00C03C49" w:rsidRPr="002B7503" w:rsidRDefault="00C03C49" w:rsidP="00C03C49">
      <w:pPr>
        <w:jc w:val="both"/>
      </w:pPr>
    </w:p>
    <w:p w:rsidR="00C03C49" w:rsidRPr="002B7503" w:rsidRDefault="00C03C49" w:rsidP="00C03C49">
      <w:pPr>
        <w:jc w:val="both"/>
      </w:pPr>
    </w:p>
    <w:p w:rsidR="00C03C49" w:rsidRPr="002B7503" w:rsidRDefault="00C03C49" w:rsidP="00C03C49">
      <w:pPr>
        <w:jc w:val="both"/>
        <w:rPr>
          <w:b/>
          <w:bCs/>
        </w:rPr>
      </w:pPr>
      <w:r>
        <w:rPr>
          <w:b/>
          <w:bCs/>
        </w:rPr>
        <w:t xml:space="preserve">A.  </w:t>
      </w:r>
      <w:r w:rsidRPr="002B7503">
        <w:rPr>
          <w:b/>
          <w:bCs/>
        </w:rPr>
        <w:t>COURSE DESCRIPTION</w:t>
      </w:r>
    </w:p>
    <w:p w:rsidR="00C03C49" w:rsidRPr="002B7503" w:rsidRDefault="00C03C49" w:rsidP="00C03C49">
      <w:pPr>
        <w:ind w:left="360"/>
        <w:jc w:val="both"/>
      </w:pPr>
    </w:p>
    <w:p w:rsidR="00C03C49" w:rsidRPr="005A175B" w:rsidRDefault="00C03C49" w:rsidP="00C03C49">
      <w:pPr>
        <w:ind w:firstLine="720"/>
        <w:jc w:val="both"/>
        <w:rPr>
          <w:sz w:val="22"/>
        </w:rPr>
      </w:pPr>
      <w:r w:rsidRPr="005A175B">
        <w:rPr>
          <w:sz w:val="22"/>
        </w:rPr>
        <w:t xml:space="preserve">The development of the Church’s understanding of God as Triune.  Biblical, patristic, medieval, and contemporary approaches to the mystery of God are considered. Special attention is given to the connection of Trinitarian doctrine to the experience of salvation. (3 hours; </w:t>
      </w:r>
      <w:proofErr w:type="spellStart"/>
      <w:r w:rsidRPr="005A175B">
        <w:rPr>
          <w:sz w:val="22"/>
        </w:rPr>
        <w:t>antirequisite</w:t>
      </w:r>
      <w:proofErr w:type="spellEnd"/>
      <w:r w:rsidRPr="005A175B">
        <w:rPr>
          <w:sz w:val="22"/>
        </w:rPr>
        <w:t>: the former Dogmatic Theology 201A).</w:t>
      </w:r>
    </w:p>
    <w:p w:rsidR="00C03C49" w:rsidRPr="002B7503" w:rsidRDefault="00C03C49" w:rsidP="00C03C49">
      <w:pPr>
        <w:jc w:val="both"/>
      </w:pPr>
    </w:p>
    <w:p w:rsidR="00C03C49" w:rsidRPr="002B7503" w:rsidRDefault="00C03C49" w:rsidP="00C03C49">
      <w:pPr>
        <w:widowControl/>
        <w:jc w:val="both"/>
      </w:pPr>
      <w:r w:rsidRPr="002B7503">
        <w:rPr>
          <w:b/>
          <w:bCs/>
        </w:rPr>
        <w:t>B.  GOALS</w:t>
      </w:r>
    </w:p>
    <w:p w:rsidR="00C03C49" w:rsidRPr="002B7503" w:rsidRDefault="00C03C49" w:rsidP="00C03C49">
      <w:pPr>
        <w:widowControl/>
        <w:jc w:val="both"/>
      </w:pPr>
    </w:p>
    <w:p w:rsidR="00C03C49" w:rsidRPr="005A175B" w:rsidRDefault="00C03C49" w:rsidP="00C03C49">
      <w:pPr>
        <w:widowControl/>
        <w:jc w:val="both"/>
        <w:rPr>
          <w:sz w:val="22"/>
        </w:rPr>
      </w:pPr>
      <w:r w:rsidRPr="005A175B">
        <w:rPr>
          <w:sz w:val="22"/>
        </w:rPr>
        <w:t>This course will assist students to grow in the following knowledge, skills and attitudes:</w:t>
      </w:r>
    </w:p>
    <w:p w:rsidR="00C03C49" w:rsidRPr="002B7503" w:rsidRDefault="00C03C49" w:rsidP="00C03C49">
      <w:pPr>
        <w:widowControl/>
        <w:jc w:val="both"/>
      </w:pPr>
    </w:p>
    <w:p w:rsidR="00C03C49" w:rsidRPr="002B7503" w:rsidRDefault="00C03C49" w:rsidP="00C03C49">
      <w:pPr>
        <w:widowControl/>
        <w:ind w:left="720"/>
        <w:jc w:val="both"/>
        <w:rPr>
          <w:bCs/>
        </w:rPr>
      </w:pPr>
      <w:r w:rsidRPr="002B7503">
        <w:rPr>
          <w:b/>
          <w:bCs/>
        </w:rPr>
        <w:t>Knowledge:</w:t>
      </w:r>
    </w:p>
    <w:p w:rsidR="00C03C49" w:rsidRPr="005A175B" w:rsidRDefault="00C03C49" w:rsidP="00C03C49">
      <w:pPr>
        <w:ind w:left="1440"/>
        <w:jc w:val="both"/>
        <w:rPr>
          <w:sz w:val="22"/>
        </w:rPr>
      </w:pPr>
      <w:r w:rsidRPr="005A175B">
        <w:rPr>
          <w:sz w:val="22"/>
        </w:rPr>
        <w:t>To gain an appreciation for the biblical foundations, key historical developments, and contemporary questions and avenues of thought in regard to the mystery of the Triune God.</w:t>
      </w:r>
    </w:p>
    <w:p w:rsidR="00C03C49" w:rsidRPr="005A175B" w:rsidRDefault="00C03C49" w:rsidP="00C03C49">
      <w:pPr>
        <w:jc w:val="both"/>
        <w:rPr>
          <w:smallCaps/>
          <w:sz w:val="22"/>
        </w:rPr>
      </w:pPr>
    </w:p>
    <w:p w:rsidR="00C03C49" w:rsidRPr="005A175B" w:rsidRDefault="00C03C49" w:rsidP="00C03C49">
      <w:pPr>
        <w:ind w:left="1440"/>
        <w:jc w:val="both"/>
        <w:rPr>
          <w:sz w:val="22"/>
        </w:rPr>
      </w:pPr>
      <w:r w:rsidRPr="005A175B">
        <w:rPr>
          <w:sz w:val="22"/>
        </w:rPr>
        <w:t xml:space="preserve">To gain a sound understanding of the key </w:t>
      </w:r>
      <w:proofErr w:type="spellStart"/>
      <w:r w:rsidRPr="005A175B">
        <w:rPr>
          <w:sz w:val="22"/>
        </w:rPr>
        <w:t>trinitarian</w:t>
      </w:r>
      <w:proofErr w:type="spellEnd"/>
      <w:r w:rsidRPr="005A175B">
        <w:rPr>
          <w:sz w:val="22"/>
        </w:rPr>
        <w:t xml:space="preserve"> teachings of the church, how and why they developed, and the erroneous positions to which they responded.</w:t>
      </w:r>
    </w:p>
    <w:p w:rsidR="00C03C49" w:rsidRPr="005A175B" w:rsidRDefault="00C03C49" w:rsidP="00C03C49">
      <w:pPr>
        <w:ind w:left="720"/>
        <w:jc w:val="both"/>
        <w:rPr>
          <w:sz w:val="22"/>
        </w:rPr>
      </w:pPr>
    </w:p>
    <w:p w:rsidR="00C03C49" w:rsidRPr="005A175B" w:rsidRDefault="00C03C49" w:rsidP="00C03C49">
      <w:pPr>
        <w:ind w:left="1440"/>
        <w:jc w:val="both"/>
        <w:rPr>
          <w:sz w:val="22"/>
        </w:rPr>
      </w:pPr>
      <w:r w:rsidRPr="005A175B">
        <w:rPr>
          <w:sz w:val="22"/>
        </w:rPr>
        <w:t>To gain a sound understanding of the intertwining of the doctrine of the Trinity and other doctrines concerning the mystery of human salvation.</w:t>
      </w:r>
    </w:p>
    <w:p w:rsidR="00C03C49" w:rsidRPr="002B7503" w:rsidRDefault="00C03C49" w:rsidP="00C03C49">
      <w:pPr>
        <w:widowControl/>
        <w:ind w:left="1440"/>
        <w:jc w:val="both"/>
      </w:pPr>
    </w:p>
    <w:p w:rsidR="00C03C49" w:rsidRPr="002B7503" w:rsidRDefault="005A175B" w:rsidP="00C03C49">
      <w:pPr>
        <w:widowControl/>
        <w:ind w:left="720"/>
        <w:jc w:val="both"/>
        <w:rPr>
          <w:bCs/>
        </w:rPr>
      </w:pPr>
      <w:r>
        <w:rPr>
          <w:b/>
          <w:bCs/>
        </w:rPr>
        <w:t>S</w:t>
      </w:r>
      <w:r w:rsidR="00C03C49" w:rsidRPr="002B7503">
        <w:rPr>
          <w:b/>
          <w:bCs/>
        </w:rPr>
        <w:t>kills:</w:t>
      </w:r>
    </w:p>
    <w:p w:rsidR="00C03C49" w:rsidRPr="005A175B" w:rsidRDefault="00C03C49" w:rsidP="00C03C49">
      <w:pPr>
        <w:ind w:left="1440"/>
        <w:jc w:val="both"/>
        <w:rPr>
          <w:sz w:val="22"/>
        </w:rPr>
      </w:pPr>
      <w:r w:rsidRPr="005A175B">
        <w:rPr>
          <w:sz w:val="22"/>
        </w:rPr>
        <w:t>To learn to integrate principles of Trinitarian thought into one’s independent exploration of theological issues.</w:t>
      </w:r>
    </w:p>
    <w:p w:rsidR="00C03C49" w:rsidRPr="005A175B" w:rsidRDefault="00C03C49" w:rsidP="00C03C49">
      <w:pPr>
        <w:ind w:left="1440" w:hanging="720"/>
        <w:jc w:val="both"/>
        <w:rPr>
          <w:sz w:val="22"/>
        </w:rPr>
      </w:pPr>
    </w:p>
    <w:p w:rsidR="00C03C49" w:rsidRPr="005A175B" w:rsidRDefault="00C03C49" w:rsidP="00C03C49">
      <w:pPr>
        <w:ind w:left="1440"/>
        <w:jc w:val="both"/>
        <w:rPr>
          <w:sz w:val="22"/>
        </w:rPr>
      </w:pPr>
      <w:r w:rsidRPr="005A175B">
        <w:rPr>
          <w:sz w:val="22"/>
        </w:rPr>
        <w:t>To learn to relate traditional teachings to contemporary questions and issues.</w:t>
      </w:r>
    </w:p>
    <w:p w:rsidR="00C03C49" w:rsidRPr="005A175B" w:rsidRDefault="00C03C49" w:rsidP="00C03C49">
      <w:pPr>
        <w:ind w:left="1440"/>
        <w:jc w:val="both"/>
        <w:rPr>
          <w:sz w:val="22"/>
        </w:rPr>
      </w:pPr>
    </w:p>
    <w:p w:rsidR="00C03C49" w:rsidRPr="005A175B" w:rsidRDefault="00C03C49" w:rsidP="00C03C49">
      <w:pPr>
        <w:ind w:left="1440"/>
        <w:jc w:val="both"/>
        <w:rPr>
          <w:sz w:val="22"/>
        </w:rPr>
      </w:pPr>
      <w:r w:rsidRPr="005A175B">
        <w:rPr>
          <w:sz w:val="22"/>
        </w:rPr>
        <w:t>To learn to identify and constructively critique the Trinitarian perspective in a given text or thinker.</w:t>
      </w:r>
    </w:p>
    <w:p w:rsidR="005A175B" w:rsidRDefault="005A175B" w:rsidP="00C03C49">
      <w:pPr>
        <w:widowControl/>
        <w:ind w:left="720"/>
        <w:jc w:val="both"/>
        <w:rPr>
          <w:b/>
          <w:bCs/>
        </w:rPr>
      </w:pPr>
    </w:p>
    <w:p w:rsidR="00C03C49" w:rsidRPr="002B7503" w:rsidRDefault="00C03C49" w:rsidP="00C03C49">
      <w:pPr>
        <w:widowControl/>
        <w:ind w:left="720"/>
        <w:jc w:val="both"/>
        <w:rPr>
          <w:bCs/>
        </w:rPr>
      </w:pPr>
      <w:r w:rsidRPr="002B7503">
        <w:rPr>
          <w:b/>
          <w:bCs/>
        </w:rPr>
        <w:t>Attitudes:</w:t>
      </w:r>
    </w:p>
    <w:p w:rsidR="00C03C49" w:rsidRPr="005A175B" w:rsidRDefault="00C03C49" w:rsidP="00C03C49">
      <w:pPr>
        <w:ind w:left="1440"/>
        <w:jc w:val="both"/>
        <w:rPr>
          <w:sz w:val="22"/>
        </w:rPr>
      </w:pPr>
      <w:r w:rsidRPr="005A175B">
        <w:rPr>
          <w:sz w:val="22"/>
        </w:rPr>
        <w:t>To grow in recognition of the benefit of shared dialogue and shared exploration of theological issues.</w:t>
      </w:r>
    </w:p>
    <w:p w:rsidR="00C03C49" w:rsidRPr="005A175B" w:rsidRDefault="00C03C49" w:rsidP="00C03C49">
      <w:pPr>
        <w:ind w:left="1440"/>
        <w:jc w:val="both"/>
        <w:rPr>
          <w:sz w:val="22"/>
        </w:rPr>
      </w:pPr>
    </w:p>
    <w:p w:rsidR="00C03C49" w:rsidRPr="005A175B" w:rsidRDefault="00C03C49" w:rsidP="00C03C49">
      <w:pPr>
        <w:ind w:left="1440"/>
        <w:jc w:val="both"/>
        <w:rPr>
          <w:sz w:val="22"/>
        </w:rPr>
      </w:pPr>
      <w:r w:rsidRPr="005A175B">
        <w:rPr>
          <w:sz w:val="22"/>
        </w:rPr>
        <w:t>To develop a sensitivity to the nature and limitations of our language about God.</w:t>
      </w:r>
    </w:p>
    <w:p w:rsidR="00C03C49" w:rsidRPr="002B7503" w:rsidRDefault="00C03C49" w:rsidP="00C03C49">
      <w:pPr>
        <w:ind w:left="1440"/>
        <w:jc w:val="both"/>
      </w:pPr>
    </w:p>
    <w:p w:rsidR="00C03C49" w:rsidRPr="005A175B" w:rsidRDefault="00C03C49" w:rsidP="00C03C49">
      <w:pPr>
        <w:ind w:left="1440"/>
        <w:jc w:val="both"/>
        <w:rPr>
          <w:sz w:val="22"/>
        </w:rPr>
      </w:pPr>
      <w:r w:rsidRPr="005A175B">
        <w:rPr>
          <w:sz w:val="22"/>
        </w:rPr>
        <w:t>To grow in a sense of the centrality of the mystery of the Trinity to Catholic faith and practice and to develop an openness to ongoing exploration of that mystery.</w:t>
      </w:r>
    </w:p>
    <w:p w:rsidR="005A175B" w:rsidRDefault="005A175B" w:rsidP="00C03C49">
      <w:pPr>
        <w:widowControl/>
        <w:jc w:val="both"/>
        <w:rPr>
          <w:b/>
          <w:bCs/>
        </w:rPr>
      </w:pPr>
    </w:p>
    <w:p w:rsidR="005A175B" w:rsidRDefault="005A175B" w:rsidP="00C03C49">
      <w:pPr>
        <w:widowControl/>
        <w:jc w:val="both"/>
        <w:rPr>
          <w:b/>
          <w:bCs/>
        </w:rPr>
      </w:pPr>
    </w:p>
    <w:p w:rsidR="00C03C49" w:rsidRPr="002B7503" w:rsidRDefault="00C03C49" w:rsidP="00C03C49">
      <w:pPr>
        <w:widowControl/>
        <w:jc w:val="both"/>
        <w:rPr>
          <w:b/>
          <w:bCs/>
        </w:rPr>
      </w:pPr>
      <w:r w:rsidRPr="002B7503">
        <w:rPr>
          <w:b/>
          <w:bCs/>
        </w:rPr>
        <w:lastRenderedPageBreak/>
        <w:t>C.  ASSESSMENT</w:t>
      </w:r>
    </w:p>
    <w:p w:rsidR="00C03C49" w:rsidRPr="002B7503" w:rsidRDefault="00C03C49" w:rsidP="00C03C49">
      <w:pPr>
        <w:ind w:left="720"/>
        <w:jc w:val="both"/>
      </w:pPr>
    </w:p>
    <w:p w:rsidR="00C03C49" w:rsidRPr="005A175B" w:rsidRDefault="00C03C49" w:rsidP="00C03C49">
      <w:pPr>
        <w:ind w:left="720"/>
        <w:jc w:val="both"/>
        <w:rPr>
          <w:sz w:val="22"/>
        </w:rPr>
      </w:pPr>
      <w:r w:rsidRPr="005A175B">
        <w:rPr>
          <w:sz w:val="22"/>
        </w:rPr>
        <w:t xml:space="preserve">Take home test distributed Feb. 13, to be returned </w:t>
      </w:r>
      <w:r w:rsidRPr="005A175B">
        <w:rPr>
          <w:b/>
          <w:sz w:val="22"/>
        </w:rPr>
        <w:t xml:space="preserve">Feb. 27 </w:t>
      </w:r>
      <w:r w:rsidRPr="005A175B">
        <w:rPr>
          <w:sz w:val="22"/>
        </w:rPr>
        <w:t>(20%)</w:t>
      </w:r>
    </w:p>
    <w:p w:rsidR="00C03C49" w:rsidRPr="005A175B" w:rsidRDefault="00C03C49" w:rsidP="00C03C49">
      <w:pPr>
        <w:ind w:left="720"/>
        <w:jc w:val="both"/>
        <w:rPr>
          <w:sz w:val="22"/>
        </w:rPr>
      </w:pPr>
    </w:p>
    <w:p w:rsidR="00C03C49" w:rsidRPr="005A175B" w:rsidRDefault="00C03C49" w:rsidP="00C03C49">
      <w:pPr>
        <w:ind w:left="720"/>
        <w:jc w:val="both"/>
        <w:rPr>
          <w:sz w:val="22"/>
        </w:rPr>
      </w:pPr>
      <w:r w:rsidRPr="005A175B">
        <w:rPr>
          <w:sz w:val="22"/>
        </w:rPr>
        <w:t xml:space="preserve">A research paper, (10-15 pages, 15 pages </w:t>
      </w:r>
      <w:r w:rsidRPr="005A175B">
        <w:rPr>
          <w:b/>
          <w:sz w:val="22"/>
        </w:rPr>
        <w:t>maximum</w:t>
      </w:r>
      <w:r w:rsidRPr="005A175B">
        <w:rPr>
          <w:sz w:val="22"/>
        </w:rPr>
        <w:t xml:space="preserve">) on a topic of your selection, due </w:t>
      </w:r>
      <w:r w:rsidRPr="005A175B">
        <w:rPr>
          <w:b/>
          <w:sz w:val="22"/>
        </w:rPr>
        <w:t>March 24</w:t>
      </w:r>
      <w:r w:rsidRPr="005A175B">
        <w:rPr>
          <w:sz w:val="22"/>
        </w:rPr>
        <w:t xml:space="preserve"> (35%); not a class day; hand in hard copy to the reception office by 4:30</w:t>
      </w:r>
    </w:p>
    <w:p w:rsidR="00C03C49" w:rsidRPr="005A175B" w:rsidRDefault="00C03C49" w:rsidP="00C03C49">
      <w:pPr>
        <w:jc w:val="both"/>
        <w:rPr>
          <w:sz w:val="22"/>
        </w:rPr>
      </w:pPr>
    </w:p>
    <w:p w:rsidR="00C03C49" w:rsidRPr="005A175B" w:rsidRDefault="00C03C49" w:rsidP="00C03C49">
      <w:pPr>
        <w:jc w:val="both"/>
        <w:rPr>
          <w:sz w:val="22"/>
        </w:rPr>
      </w:pPr>
      <w:r w:rsidRPr="005A175B">
        <w:rPr>
          <w:sz w:val="22"/>
        </w:rPr>
        <w:tab/>
        <w:t xml:space="preserve">A final, written examination will be during the exam period (30%) </w:t>
      </w:r>
    </w:p>
    <w:p w:rsidR="00C03C49" w:rsidRPr="005A175B" w:rsidRDefault="00C03C49" w:rsidP="00C03C49">
      <w:pPr>
        <w:jc w:val="both"/>
        <w:rPr>
          <w:sz w:val="22"/>
        </w:rPr>
      </w:pPr>
    </w:p>
    <w:p w:rsidR="00C03C49" w:rsidRPr="005A175B" w:rsidRDefault="00C03C49" w:rsidP="00C03C49">
      <w:pPr>
        <w:jc w:val="both"/>
        <w:rPr>
          <w:sz w:val="22"/>
        </w:rPr>
      </w:pPr>
      <w:r w:rsidRPr="005A175B">
        <w:rPr>
          <w:sz w:val="22"/>
        </w:rPr>
        <w:tab/>
        <w:t>Participation in discussions</w:t>
      </w:r>
      <w:r w:rsidR="00D94988" w:rsidRPr="005A175B">
        <w:rPr>
          <w:sz w:val="22"/>
        </w:rPr>
        <w:t>; Students may also submit written comments or questions (one paragraph) based on the week’s readings as a contribution to this grade</w:t>
      </w:r>
      <w:r w:rsidRPr="005A175B">
        <w:rPr>
          <w:sz w:val="22"/>
        </w:rPr>
        <w:t xml:space="preserve"> (15%).  </w:t>
      </w:r>
    </w:p>
    <w:p w:rsidR="00C03C49" w:rsidRPr="005A175B" w:rsidRDefault="00C03C49" w:rsidP="00C03C49">
      <w:pPr>
        <w:jc w:val="both"/>
        <w:rPr>
          <w:sz w:val="22"/>
        </w:rPr>
      </w:pPr>
    </w:p>
    <w:p w:rsidR="00D94988" w:rsidRPr="005A175B" w:rsidRDefault="00D94988" w:rsidP="00D94988">
      <w:pPr>
        <w:ind w:firstLine="720"/>
        <w:jc w:val="both"/>
        <w:rPr>
          <w:sz w:val="22"/>
        </w:rPr>
      </w:pPr>
      <w:r w:rsidRPr="005A175B">
        <w:rPr>
          <w:sz w:val="22"/>
        </w:rPr>
        <w:t>Assignments are due at the beginning of class on the dates indicated.  10% per day will be deducted from assignments handed in late unless prior arrangements have been made with the instructor.  Assignments are recorded as having been received on the day they reach the instructor’s hands.  Do not submit assignments by e-mail or by campus mail.</w:t>
      </w:r>
    </w:p>
    <w:p w:rsidR="00C03C49" w:rsidRPr="002B7503" w:rsidRDefault="00C03C49" w:rsidP="00C03C49">
      <w:pPr>
        <w:widowControl/>
        <w:ind w:left="720"/>
        <w:jc w:val="both"/>
        <w:rPr>
          <w:b/>
          <w:bCs/>
        </w:rPr>
      </w:pPr>
    </w:p>
    <w:p w:rsidR="00C03C49" w:rsidRPr="002B7503" w:rsidRDefault="00C03C49" w:rsidP="00C03C49">
      <w:pPr>
        <w:widowControl/>
        <w:jc w:val="both"/>
      </w:pPr>
      <w:r w:rsidRPr="002B7503">
        <w:rPr>
          <w:b/>
          <w:bCs/>
        </w:rPr>
        <w:t>D.  READINGS OR TEXTBOOKS</w:t>
      </w:r>
    </w:p>
    <w:p w:rsidR="00C03C49" w:rsidRPr="002B7503" w:rsidRDefault="00C03C49" w:rsidP="00C03C49">
      <w:pPr>
        <w:widowControl/>
        <w:jc w:val="both"/>
      </w:pPr>
    </w:p>
    <w:p w:rsidR="00C03C49" w:rsidRPr="005A175B" w:rsidRDefault="00C03C49" w:rsidP="00C03C49">
      <w:pPr>
        <w:widowControl/>
        <w:tabs>
          <w:tab w:val="left" w:pos="-1440"/>
        </w:tabs>
        <w:ind w:left="1440" w:hanging="720"/>
        <w:jc w:val="both"/>
        <w:rPr>
          <w:sz w:val="22"/>
        </w:rPr>
      </w:pPr>
      <w:r w:rsidRPr="005A175B">
        <w:rPr>
          <w:sz w:val="22"/>
        </w:rPr>
        <w:t xml:space="preserve">Required:  Gerald </w:t>
      </w:r>
      <w:proofErr w:type="spellStart"/>
      <w:r w:rsidRPr="005A175B">
        <w:rPr>
          <w:sz w:val="22"/>
        </w:rPr>
        <w:t>O'Collins</w:t>
      </w:r>
      <w:proofErr w:type="spellEnd"/>
      <w:r w:rsidRPr="005A175B">
        <w:rPr>
          <w:sz w:val="22"/>
        </w:rPr>
        <w:t xml:space="preserve">, </w:t>
      </w:r>
      <w:r w:rsidRPr="005A175B">
        <w:rPr>
          <w:i/>
          <w:sz w:val="22"/>
        </w:rPr>
        <w:t xml:space="preserve">The </w:t>
      </w:r>
      <w:proofErr w:type="spellStart"/>
      <w:r w:rsidRPr="005A175B">
        <w:rPr>
          <w:i/>
          <w:sz w:val="22"/>
        </w:rPr>
        <w:t>Tripersonal</w:t>
      </w:r>
      <w:proofErr w:type="spellEnd"/>
      <w:r w:rsidRPr="005A175B">
        <w:rPr>
          <w:i/>
          <w:sz w:val="22"/>
        </w:rPr>
        <w:t xml:space="preserve"> God</w:t>
      </w:r>
      <w:r w:rsidRPr="005A175B">
        <w:rPr>
          <w:sz w:val="22"/>
        </w:rPr>
        <w:t xml:space="preserve">. New York: Paulist Press, 2nd ed., 2014. </w:t>
      </w:r>
    </w:p>
    <w:p w:rsidR="00C03C49" w:rsidRPr="005A175B" w:rsidRDefault="00C03C49" w:rsidP="00C03C49">
      <w:pPr>
        <w:widowControl/>
        <w:tabs>
          <w:tab w:val="left" w:pos="-1440"/>
        </w:tabs>
        <w:ind w:left="1440" w:hanging="720"/>
        <w:jc w:val="both"/>
        <w:rPr>
          <w:sz w:val="22"/>
        </w:rPr>
      </w:pPr>
    </w:p>
    <w:p w:rsidR="00C03C49" w:rsidRPr="005A175B" w:rsidRDefault="00C03C49" w:rsidP="00C03C49">
      <w:pPr>
        <w:widowControl/>
        <w:tabs>
          <w:tab w:val="left" w:pos="-1440"/>
        </w:tabs>
        <w:ind w:left="2160" w:hanging="720"/>
        <w:jc w:val="both"/>
        <w:rPr>
          <w:sz w:val="22"/>
        </w:rPr>
      </w:pPr>
      <w:r w:rsidRPr="005A175B">
        <w:rPr>
          <w:sz w:val="22"/>
        </w:rPr>
        <w:t xml:space="preserve">Course package. </w:t>
      </w:r>
    </w:p>
    <w:p w:rsidR="00C03C49" w:rsidRPr="002B7503" w:rsidRDefault="00C03C49" w:rsidP="00C03C49">
      <w:pPr>
        <w:widowControl/>
        <w:tabs>
          <w:tab w:val="left" w:pos="-1440"/>
        </w:tabs>
        <w:ind w:left="1440" w:hanging="720"/>
        <w:jc w:val="both"/>
      </w:pPr>
    </w:p>
    <w:p w:rsidR="00C03C49" w:rsidRPr="002B7503" w:rsidRDefault="00C03C49" w:rsidP="00C03C49">
      <w:pPr>
        <w:widowControl/>
        <w:jc w:val="both"/>
      </w:pPr>
      <w:r w:rsidRPr="002B7503">
        <w:rPr>
          <w:b/>
          <w:bCs/>
        </w:rPr>
        <w:t>E.  SCHEDULE, TOPICS &amp; READINGS</w:t>
      </w:r>
      <w:r w:rsidRPr="002B7503">
        <w:t xml:space="preserve"> </w:t>
      </w:r>
      <w:r w:rsidRPr="002B7503">
        <w:rPr>
          <w:i/>
          <w:iCs/>
        </w:rPr>
        <w:t>or</w:t>
      </w:r>
      <w:r w:rsidRPr="002B7503">
        <w:t xml:space="preserve"> </w:t>
      </w:r>
      <w:r w:rsidRPr="002B7503">
        <w:rPr>
          <w:b/>
          <w:bCs/>
        </w:rPr>
        <w:t>STRUCTURE OF THE COURSE</w:t>
      </w:r>
    </w:p>
    <w:p w:rsidR="00C03C49" w:rsidRPr="002B7503" w:rsidRDefault="00C03C49" w:rsidP="00C03C49">
      <w:pPr>
        <w:widowControl/>
        <w:jc w:val="both"/>
        <w:rPr>
          <w:b/>
          <w:bCs/>
        </w:rPr>
      </w:pPr>
    </w:p>
    <w:p w:rsidR="00C03C49" w:rsidRPr="002B7503" w:rsidRDefault="00C03C49" w:rsidP="00C03C49">
      <w:pPr>
        <w:pStyle w:val="Heading1"/>
        <w:rPr>
          <w:rFonts w:ascii="Times New Roman" w:hAnsi="Times New Roman"/>
          <w:sz w:val="24"/>
          <w:szCs w:val="24"/>
        </w:rPr>
      </w:pPr>
      <w:r w:rsidRPr="002B7503">
        <w:rPr>
          <w:rFonts w:ascii="Times New Roman" w:hAnsi="Times New Roman"/>
          <w:sz w:val="24"/>
          <w:szCs w:val="24"/>
        </w:rPr>
        <w:t>Section 1: The Mystery of God and Scriptural Foundations</w:t>
      </w:r>
    </w:p>
    <w:p w:rsidR="00C03C49" w:rsidRPr="002B7503" w:rsidRDefault="00C03C49" w:rsidP="00C03C49">
      <w:pPr>
        <w:jc w:val="both"/>
      </w:pPr>
    </w:p>
    <w:p w:rsidR="00C03C49" w:rsidRPr="005A175B" w:rsidRDefault="00C03C49" w:rsidP="00C03C49">
      <w:pPr>
        <w:ind w:left="720" w:hanging="720"/>
        <w:jc w:val="both"/>
        <w:rPr>
          <w:sz w:val="22"/>
        </w:rPr>
      </w:pPr>
      <w:r w:rsidRPr="005A175B">
        <w:rPr>
          <w:sz w:val="22"/>
        </w:rPr>
        <w:t xml:space="preserve">Week 1 (Jan.9/11):  </w:t>
      </w:r>
    </w:p>
    <w:p w:rsidR="00C03C49" w:rsidRPr="005A175B" w:rsidRDefault="00C03C49" w:rsidP="00C03C49">
      <w:pPr>
        <w:pStyle w:val="ListParagraph"/>
        <w:numPr>
          <w:ilvl w:val="0"/>
          <w:numId w:val="1"/>
        </w:numPr>
        <w:jc w:val="both"/>
        <w:rPr>
          <w:sz w:val="22"/>
        </w:rPr>
      </w:pPr>
      <w:r w:rsidRPr="005A175B">
        <w:rPr>
          <w:sz w:val="22"/>
        </w:rPr>
        <w:t>Introduction and Overview: The Mystery of God</w:t>
      </w:r>
    </w:p>
    <w:p w:rsidR="00C03C49" w:rsidRPr="005A175B" w:rsidRDefault="00C03C49" w:rsidP="00C03C49">
      <w:pPr>
        <w:pStyle w:val="ListParagraph"/>
        <w:numPr>
          <w:ilvl w:val="0"/>
          <w:numId w:val="1"/>
        </w:numPr>
        <w:jc w:val="both"/>
        <w:rPr>
          <w:sz w:val="22"/>
        </w:rPr>
      </w:pPr>
      <w:r w:rsidRPr="005A175B">
        <w:rPr>
          <w:sz w:val="22"/>
        </w:rPr>
        <w:t>God in the Old Testament (</w:t>
      </w:r>
      <w:proofErr w:type="spellStart"/>
      <w:r w:rsidRPr="005A175B">
        <w:rPr>
          <w:sz w:val="22"/>
        </w:rPr>
        <w:t>O'Collins</w:t>
      </w:r>
      <w:proofErr w:type="spellEnd"/>
      <w:r w:rsidRPr="005A175B">
        <w:rPr>
          <w:sz w:val="22"/>
        </w:rPr>
        <w:t xml:space="preserve">, </w:t>
      </w:r>
      <w:proofErr w:type="spellStart"/>
      <w:r w:rsidRPr="005A175B">
        <w:rPr>
          <w:sz w:val="22"/>
        </w:rPr>
        <w:t>ch.</w:t>
      </w:r>
      <w:proofErr w:type="spellEnd"/>
      <w:r w:rsidRPr="005A175B">
        <w:rPr>
          <w:sz w:val="22"/>
        </w:rPr>
        <w:t xml:space="preserve"> 1)</w:t>
      </w:r>
    </w:p>
    <w:p w:rsidR="00C03C49" w:rsidRPr="005A175B" w:rsidRDefault="00C03C49" w:rsidP="00C03C49">
      <w:pPr>
        <w:jc w:val="both"/>
        <w:rPr>
          <w:sz w:val="22"/>
        </w:rPr>
      </w:pPr>
    </w:p>
    <w:p w:rsidR="00D94988" w:rsidRPr="005A175B" w:rsidRDefault="00D94988" w:rsidP="00C03C49">
      <w:pPr>
        <w:ind w:left="720" w:hanging="720"/>
        <w:jc w:val="both"/>
        <w:rPr>
          <w:sz w:val="22"/>
        </w:rPr>
      </w:pPr>
    </w:p>
    <w:p w:rsidR="00C03C49" w:rsidRPr="005A175B" w:rsidRDefault="00C03C49" w:rsidP="00C03C49">
      <w:pPr>
        <w:ind w:left="720" w:hanging="720"/>
        <w:jc w:val="both"/>
        <w:rPr>
          <w:sz w:val="22"/>
        </w:rPr>
      </w:pPr>
      <w:r w:rsidRPr="005A175B">
        <w:rPr>
          <w:sz w:val="22"/>
        </w:rPr>
        <w:t xml:space="preserve">Week 2 (Jan. 16/18): </w:t>
      </w:r>
    </w:p>
    <w:p w:rsidR="00C03C49" w:rsidRPr="005A175B" w:rsidRDefault="00C03C49" w:rsidP="00C03C49">
      <w:pPr>
        <w:pStyle w:val="ListParagraph"/>
        <w:numPr>
          <w:ilvl w:val="0"/>
          <w:numId w:val="1"/>
        </w:numPr>
        <w:jc w:val="both"/>
        <w:rPr>
          <w:sz w:val="22"/>
        </w:rPr>
      </w:pPr>
      <w:r w:rsidRPr="005A175B">
        <w:rPr>
          <w:sz w:val="22"/>
        </w:rPr>
        <w:t>The Trinity in the Life of Jesus and the Writings of Paul (</w:t>
      </w:r>
      <w:proofErr w:type="spellStart"/>
      <w:r w:rsidRPr="005A175B">
        <w:rPr>
          <w:sz w:val="22"/>
        </w:rPr>
        <w:t>O'Collins</w:t>
      </w:r>
      <w:proofErr w:type="spellEnd"/>
      <w:r w:rsidRPr="005A175B">
        <w:rPr>
          <w:sz w:val="22"/>
        </w:rPr>
        <w:t xml:space="preserve">, </w:t>
      </w:r>
      <w:proofErr w:type="spellStart"/>
      <w:r w:rsidRPr="005A175B">
        <w:rPr>
          <w:sz w:val="22"/>
        </w:rPr>
        <w:t>chs</w:t>
      </w:r>
      <w:proofErr w:type="spellEnd"/>
      <w:r w:rsidRPr="005A175B">
        <w:rPr>
          <w:sz w:val="22"/>
        </w:rPr>
        <w:t xml:space="preserve">. 2 and 3) </w:t>
      </w:r>
    </w:p>
    <w:p w:rsidR="00C03C49" w:rsidRPr="005A175B" w:rsidRDefault="00C03C49" w:rsidP="00C03C49">
      <w:pPr>
        <w:pStyle w:val="ListParagraph"/>
        <w:numPr>
          <w:ilvl w:val="0"/>
          <w:numId w:val="1"/>
        </w:numPr>
        <w:jc w:val="both"/>
        <w:rPr>
          <w:sz w:val="22"/>
        </w:rPr>
      </w:pPr>
      <w:r w:rsidRPr="005A175B">
        <w:rPr>
          <w:sz w:val="22"/>
        </w:rPr>
        <w:t>The Gospels; Summary and Introduction to the Fathers (</w:t>
      </w:r>
      <w:proofErr w:type="spellStart"/>
      <w:r w:rsidRPr="005A175B">
        <w:rPr>
          <w:sz w:val="22"/>
        </w:rPr>
        <w:t>O'Collins</w:t>
      </w:r>
      <w:proofErr w:type="spellEnd"/>
      <w:r w:rsidRPr="005A175B">
        <w:rPr>
          <w:sz w:val="22"/>
        </w:rPr>
        <w:t xml:space="preserve">, </w:t>
      </w:r>
      <w:proofErr w:type="spellStart"/>
      <w:r w:rsidRPr="005A175B">
        <w:rPr>
          <w:sz w:val="22"/>
        </w:rPr>
        <w:t>ch.</w:t>
      </w:r>
      <w:proofErr w:type="spellEnd"/>
      <w:r w:rsidRPr="005A175B">
        <w:rPr>
          <w:sz w:val="22"/>
        </w:rPr>
        <w:t xml:space="preserve"> 4)</w:t>
      </w:r>
    </w:p>
    <w:p w:rsidR="00C03C49" w:rsidRPr="002B7503" w:rsidRDefault="00C03C49" w:rsidP="00C03C49">
      <w:pPr>
        <w:pStyle w:val="ListParagraph"/>
        <w:jc w:val="both"/>
      </w:pPr>
    </w:p>
    <w:p w:rsidR="00C03C49" w:rsidRPr="002B7503" w:rsidRDefault="00C03C49" w:rsidP="00C03C49">
      <w:pPr>
        <w:pStyle w:val="Heading1"/>
        <w:rPr>
          <w:rFonts w:ascii="Times New Roman" w:hAnsi="Times New Roman"/>
          <w:sz w:val="24"/>
          <w:szCs w:val="24"/>
        </w:rPr>
      </w:pPr>
      <w:r w:rsidRPr="002B7503">
        <w:rPr>
          <w:rFonts w:ascii="Times New Roman" w:hAnsi="Times New Roman"/>
          <w:sz w:val="24"/>
          <w:szCs w:val="24"/>
        </w:rPr>
        <w:t>Section 2: Patristic Developments</w:t>
      </w:r>
    </w:p>
    <w:p w:rsidR="00C03C49" w:rsidRPr="002B7503" w:rsidRDefault="00C03C49" w:rsidP="00C03C49">
      <w:pPr>
        <w:jc w:val="both"/>
      </w:pPr>
    </w:p>
    <w:p w:rsidR="00C03C49" w:rsidRPr="005A175B" w:rsidRDefault="00C03C49" w:rsidP="00C03C49">
      <w:pPr>
        <w:ind w:left="720" w:hanging="720"/>
        <w:jc w:val="both"/>
        <w:rPr>
          <w:sz w:val="22"/>
        </w:rPr>
      </w:pPr>
      <w:r w:rsidRPr="005A175B">
        <w:rPr>
          <w:sz w:val="22"/>
        </w:rPr>
        <w:t xml:space="preserve">Week 3 (Jan. 23/25): </w:t>
      </w:r>
    </w:p>
    <w:p w:rsidR="00C03C49" w:rsidRPr="005A175B" w:rsidRDefault="00C03C49" w:rsidP="00C03C49">
      <w:pPr>
        <w:pStyle w:val="ListParagraph"/>
        <w:numPr>
          <w:ilvl w:val="0"/>
          <w:numId w:val="2"/>
        </w:numPr>
        <w:jc w:val="both"/>
        <w:rPr>
          <w:sz w:val="22"/>
        </w:rPr>
      </w:pPr>
      <w:r w:rsidRPr="005A175B">
        <w:rPr>
          <w:sz w:val="22"/>
        </w:rPr>
        <w:t>The Pre-Nicene Fathers: Justin and Irenaeus (</w:t>
      </w:r>
      <w:proofErr w:type="spellStart"/>
      <w:r w:rsidRPr="005A175B">
        <w:rPr>
          <w:sz w:val="22"/>
        </w:rPr>
        <w:t>O'Collins</w:t>
      </w:r>
      <w:proofErr w:type="spellEnd"/>
      <w:r w:rsidRPr="005A175B">
        <w:rPr>
          <w:sz w:val="22"/>
        </w:rPr>
        <w:t xml:space="preserve">, ch.5) </w:t>
      </w:r>
    </w:p>
    <w:p w:rsidR="00C03C49" w:rsidRPr="005A175B" w:rsidRDefault="00C03C49" w:rsidP="00C03C49">
      <w:pPr>
        <w:pStyle w:val="ListParagraph"/>
        <w:numPr>
          <w:ilvl w:val="0"/>
          <w:numId w:val="2"/>
        </w:numPr>
        <w:jc w:val="both"/>
        <w:rPr>
          <w:sz w:val="22"/>
        </w:rPr>
      </w:pPr>
      <w:r w:rsidRPr="005A175B">
        <w:rPr>
          <w:sz w:val="22"/>
        </w:rPr>
        <w:t xml:space="preserve">The Pre-Nicene Fathers: Tertullian (Tertullian, </w:t>
      </w:r>
      <w:r w:rsidRPr="005A175B">
        <w:rPr>
          <w:i/>
          <w:sz w:val="22"/>
        </w:rPr>
        <w:t xml:space="preserve">Against </w:t>
      </w:r>
      <w:proofErr w:type="spellStart"/>
      <w:r w:rsidRPr="005A175B">
        <w:rPr>
          <w:i/>
          <w:sz w:val="22"/>
        </w:rPr>
        <w:t>Praxeas</w:t>
      </w:r>
      <w:proofErr w:type="spellEnd"/>
      <w:r w:rsidRPr="005A175B">
        <w:rPr>
          <w:sz w:val="22"/>
        </w:rPr>
        <w:t>); Origen and the Alexandrian Tradition</w:t>
      </w:r>
    </w:p>
    <w:p w:rsidR="00C03C49" w:rsidRPr="005A175B" w:rsidRDefault="00C03C49" w:rsidP="00C03C49">
      <w:pPr>
        <w:ind w:left="720"/>
        <w:jc w:val="both"/>
        <w:rPr>
          <w:sz w:val="22"/>
        </w:rPr>
      </w:pPr>
    </w:p>
    <w:p w:rsidR="00C03C49" w:rsidRPr="005A175B" w:rsidRDefault="00C03C49" w:rsidP="00C03C49">
      <w:pPr>
        <w:ind w:left="720" w:hanging="720"/>
        <w:jc w:val="both"/>
        <w:rPr>
          <w:sz w:val="22"/>
        </w:rPr>
      </w:pPr>
      <w:r w:rsidRPr="005A175B">
        <w:rPr>
          <w:sz w:val="22"/>
        </w:rPr>
        <w:t xml:space="preserve">Week 4 (Jan. 30/Feb.1): </w:t>
      </w:r>
    </w:p>
    <w:p w:rsidR="00C03C49" w:rsidRPr="005A175B" w:rsidRDefault="00C03C49" w:rsidP="00C03C49">
      <w:pPr>
        <w:pStyle w:val="ListParagraph"/>
        <w:numPr>
          <w:ilvl w:val="0"/>
          <w:numId w:val="2"/>
        </w:numPr>
        <w:jc w:val="both"/>
        <w:rPr>
          <w:sz w:val="22"/>
        </w:rPr>
      </w:pPr>
      <w:r w:rsidRPr="005A175B">
        <w:rPr>
          <w:sz w:val="22"/>
        </w:rPr>
        <w:t xml:space="preserve">The Arian Controversy (Thomas Marsh, from “The Great Controversy”, </w:t>
      </w:r>
      <w:r w:rsidRPr="005A175B">
        <w:rPr>
          <w:i/>
          <w:sz w:val="22"/>
        </w:rPr>
        <w:t>The Triune God</w:t>
      </w:r>
      <w:r w:rsidRPr="005A175B">
        <w:rPr>
          <w:sz w:val="22"/>
        </w:rPr>
        <w:t xml:space="preserve">; selection from Athanasius, </w:t>
      </w:r>
      <w:r w:rsidRPr="005A175B">
        <w:rPr>
          <w:i/>
          <w:sz w:val="22"/>
        </w:rPr>
        <w:t>Orations Against the Arians</w:t>
      </w:r>
      <w:r w:rsidRPr="005A175B">
        <w:rPr>
          <w:sz w:val="22"/>
        </w:rPr>
        <w:t>)</w:t>
      </w:r>
    </w:p>
    <w:p w:rsidR="00C03C49" w:rsidRPr="005A175B" w:rsidRDefault="00C03C49" w:rsidP="00C03C49">
      <w:pPr>
        <w:pStyle w:val="ListParagraph"/>
        <w:numPr>
          <w:ilvl w:val="0"/>
          <w:numId w:val="2"/>
        </w:numPr>
        <w:jc w:val="both"/>
        <w:rPr>
          <w:sz w:val="22"/>
        </w:rPr>
      </w:pPr>
      <w:proofErr w:type="spellStart"/>
      <w:r w:rsidRPr="005A175B">
        <w:rPr>
          <w:sz w:val="22"/>
        </w:rPr>
        <w:t>Nicea</w:t>
      </w:r>
      <w:proofErr w:type="spellEnd"/>
      <w:r w:rsidRPr="005A175B">
        <w:rPr>
          <w:sz w:val="22"/>
        </w:rPr>
        <w:t xml:space="preserve"> and Constantinople (</w:t>
      </w:r>
      <w:proofErr w:type="spellStart"/>
      <w:r w:rsidRPr="005A175B">
        <w:rPr>
          <w:sz w:val="22"/>
        </w:rPr>
        <w:t>O'Collins</w:t>
      </w:r>
      <w:proofErr w:type="spellEnd"/>
      <w:r w:rsidRPr="005A175B">
        <w:rPr>
          <w:sz w:val="22"/>
        </w:rPr>
        <w:t>, ch.6 and ch.7, pp.127-34); Introduction to the Cappadocian Fathers</w:t>
      </w:r>
    </w:p>
    <w:p w:rsidR="00C03C49" w:rsidRPr="002B7503" w:rsidRDefault="00C03C49" w:rsidP="00C03C49">
      <w:pPr>
        <w:ind w:left="720"/>
        <w:jc w:val="both"/>
      </w:pPr>
    </w:p>
    <w:p w:rsidR="005A175B" w:rsidRDefault="005A175B" w:rsidP="00C03C49">
      <w:pPr>
        <w:ind w:left="720" w:hanging="720"/>
        <w:jc w:val="both"/>
        <w:rPr>
          <w:sz w:val="22"/>
        </w:rPr>
      </w:pPr>
    </w:p>
    <w:p w:rsidR="005A175B" w:rsidRDefault="005A175B" w:rsidP="00C03C49">
      <w:pPr>
        <w:ind w:left="720" w:hanging="720"/>
        <w:jc w:val="both"/>
        <w:rPr>
          <w:sz w:val="22"/>
        </w:rPr>
      </w:pPr>
    </w:p>
    <w:p w:rsidR="00C03C49" w:rsidRPr="005A175B" w:rsidRDefault="00C03C49" w:rsidP="00C03C49">
      <w:pPr>
        <w:ind w:left="720" w:hanging="720"/>
        <w:jc w:val="both"/>
        <w:rPr>
          <w:sz w:val="22"/>
        </w:rPr>
      </w:pPr>
      <w:r w:rsidRPr="005A175B">
        <w:rPr>
          <w:sz w:val="22"/>
        </w:rPr>
        <w:lastRenderedPageBreak/>
        <w:t xml:space="preserve">Week 5 (Feb. 6/8):  </w:t>
      </w:r>
    </w:p>
    <w:p w:rsidR="00C03C49" w:rsidRPr="005A175B" w:rsidRDefault="00C03C49" w:rsidP="00C03C49">
      <w:pPr>
        <w:pStyle w:val="ListParagraph"/>
        <w:numPr>
          <w:ilvl w:val="0"/>
          <w:numId w:val="2"/>
        </w:numPr>
        <w:jc w:val="both"/>
        <w:rPr>
          <w:sz w:val="22"/>
        </w:rPr>
      </w:pPr>
      <w:r w:rsidRPr="005A175B">
        <w:rPr>
          <w:sz w:val="22"/>
        </w:rPr>
        <w:t xml:space="preserve">The Cappadocian Fathers (Catherine </w:t>
      </w:r>
      <w:proofErr w:type="spellStart"/>
      <w:r w:rsidRPr="005A175B">
        <w:rPr>
          <w:sz w:val="22"/>
        </w:rPr>
        <w:t>LaCugna</w:t>
      </w:r>
      <w:proofErr w:type="spellEnd"/>
      <w:r w:rsidRPr="005A175B">
        <w:rPr>
          <w:sz w:val="22"/>
        </w:rPr>
        <w:t xml:space="preserve">, from </w:t>
      </w:r>
      <w:r w:rsidRPr="005A175B">
        <w:rPr>
          <w:i/>
          <w:sz w:val="22"/>
        </w:rPr>
        <w:t xml:space="preserve">God </w:t>
      </w:r>
      <w:proofErr w:type="gramStart"/>
      <w:r w:rsidRPr="005A175B">
        <w:rPr>
          <w:i/>
          <w:sz w:val="22"/>
        </w:rPr>
        <w:t>For</w:t>
      </w:r>
      <w:proofErr w:type="gramEnd"/>
      <w:r w:rsidRPr="005A175B">
        <w:rPr>
          <w:i/>
          <w:sz w:val="22"/>
        </w:rPr>
        <w:t xml:space="preserve"> Us: The Trinity and Christian Life</w:t>
      </w:r>
      <w:r w:rsidRPr="005A175B">
        <w:rPr>
          <w:sz w:val="22"/>
        </w:rPr>
        <w:t>; selections from Basil of Caesarea, Gregory Nazianzus)</w:t>
      </w:r>
    </w:p>
    <w:p w:rsidR="00C03C49" w:rsidRPr="005A175B" w:rsidRDefault="00C03C49" w:rsidP="00C03C49">
      <w:pPr>
        <w:pStyle w:val="ListParagraph"/>
        <w:numPr>
          <w:ilvl w:val="0"/>
          <w:numId w:val="2"/>
        </w:numPr>
        <w:jc w:val="both"/>
        <w:rPr>
          <w:sz w:val="22"/>
        </w:rPr>
      </w:pPr>
      <w:r w:rsidRPr="005A175B">
        <w:rPr>
          <w:sz w:val="22"/>
        </w:rPr>
        <w:t xml:space="preserve">The </w:t>
      </w:r>
      <w:proofErr w:type="spellStart"/>
      <w:r w:rsidRPr="005A175B">
        <w:rPr>
          <w:sz w:val="22"/>
        </w:rPr>
        <w:t>Cappadocians</w:t>
      </w:r>
      <w:proofErr w:type="spellEnd"/>
      <w:r w:rsidRPr="005A175B">
        <w:rPr>
          <w:sz w:val="22"/>
        </w:rPr>
        <w:t>; Summary of Patristic Developments</w:t>
      </w:r>
    </w:p>
    <w:p w:rsidR="00C03C49" w:rsidRPr="002B7503" w:rsidRDefault="00C03C49" w:rsidP="00C03C49">
      <w:pPr>
        <w:ind w:left="1440" w:hanging="720"/>
        <w:jc w:val="both"/>
      </w:pPr>
    </w:p>
    <w:p w:rsidR="00C03C49" w:rsidRPr="002B7503" w:rsidRDefault="00C03C49" w:rsidP="00C03C49">
      <w:pPr>
        <w:pStyle w:val="Heading1"/>
        <w:rPr>
          <w:rFonts w:ascii="Times New Roman" w:hAnsi="Times New Roman"/>
          <w:sz w:val="24"/>
          <w:szCs w:val="24"/>
        </w:rPr>
      </w:pPr>
      <w:r w:rsidRPr="002B7503">
        <w:rPr>
          <w:rFonts w:ascii="Times New Roman" w:hAnsi="Times New Roman"/>
          <w:sz w:val="24"/>
          <w:szCs w:val="24"/>
        </w:rPr>
        <w:t>Section 3:  Medieval Trinitarian Theology</w:t>
      </w:r>
    </w:p>
    <w:p w:rsidR="00C03C49" w:rsidRPr="002B7503" w:rsidRDefault="00C03C49" w:rsidP="00C03C49">
      <w:pPr>
        <w:jc w:val="both"/>
      </w:pPr>
    </w:p>
    <w:p w:rsidR="00C03C49" w:rsidRPr="005A175B" w:rsidRDefault="00C03C49" w:rsidP="00C03C49">
      <w:pPr>
        <w:ind w:left="720" w:hanging="720"/>
        <w:jc w:val="both"/>
        <w:rPr>
          <w:sz w:val="22"/>
        </w:rPr>
      </w:pPr>
      <w:r w:rsidRPr="005A175B">
        <w:rPr>
          <w:sz w:val="22"/>
        </w:rPr>
        <w:t xml:space="preserve">Week 6 (Feb. 13/15): </w:t>
      </w:r>
    </w:p>
    <w:p w:rsidR="00C03C49" w:rsidRPr="005A175B" w:rsidRDefault="00C03C49" w:rsidP="00C03C49">
      <w:pPr>
        <w:pStyle w:val="ListParagraph"/>
        <w:numPr>
          <w:ilvl w:val="0"/>
          <w:numId w:val="3"/>
        </w:numPr>
        <w:jc w:val="both"/>
        <w:rPr>
          <w:sz w:val="22"/>
        </w:rPr>
      </w:pPr>
      <w:r w:rsidRPr="005A175B">
        <w:rPr>
          <w:sz w:val="22"/>
        </w:rPr>
        <w:t xml:space="preserve">Augustine (Eugene </w:t>
      </w:r>
      <w:proofErr w:type="spellStart"/>
      <w:r w:rsidRPr="005A175B">
        <w:rPr>
          <w:sz w:val="22"/>
        </w:rPr>
        <w:t>Teselle</w:t>
      </w:r>
      <w:proofErr w:type="spellEnd"/>
      <w:r w:rsidRPr="005A175B">
        <w:rPr>
          <w:sz w:val="22"/>
        </w:rPr>
        <w:t xml:space="preserve">, </w:t>
      </w:r>
      <w:r w:rsidRPr="005A175B">
        <w:rPr>
          <w:i/>
          <w:sz w:val="22"/>
        </w:rPr>
        <w:t>Augustine the Theologian</w:t>
      </w:r>
      <w:r w:rsidRPr="005A175B">
        <w:rPr>
          <w:sz w:val="22"/>
        </w:rPr>
        <w:t xml:space="preserve">; Augustine, selection from </w:t>
      </w:r>
      <w:r w:rsidRPr="005A175B">
        <w:rPr>
          <w:i/>
          <w:sz w:val="22"/>
        </w:rPr>
        <w:t>On the Trinity</w:t>
      </w:r>
      <w:r w:rsidRPr="005A175B">
        <w:rPr>
          <w:sz w:val="22"/>
        </w:rPr>
        <w:t>)</w:t>
      </w:r>
    </w:p>
    <w:p w:rsidR="00C03C49" w:rsidRPr="005A175B" w:rsidRDefault="00C03C49" w:rsidP="00C03C49">
      <w:pPr>
        <w:pStyle w:val="ListParagraph"/>
        <w:jc w:val="both"/>
        <w:rPr>
          <w:sz w:val="22"/>
        </w:rPr>
      </w:pPr>
    </w:p>
    <w:p w:rsidR="00C03C49" w:rsidRPr="005A175B" w:rsidRDefault="00C03C49" w:rsidP="00C03C49">
      <w:pPr>
        <w:ind w:left="720" w:hanging="720"/>
        <w:jc w:val="both"/>
        <w:rPr>
          <w:sz w:val="22"/>
        </w:rPr>
      </w:pPr>
      <w:r w:rsidRPr="005A175B">
        <w:rPr>
          <w:sz w:val="22"/>
        </w:rPr>
        <w:t>Reading Week</w:t>
      </w:r>
    </w:p>
    <w:p w:rsidR="00C03C49" w:rsidRPr="005A175B" w:rsidRDefault="00C03C49" w:rsidP="00C03C49">
      <w:pPr>
        <w:jc w:val="both"/>
        <w:rPr>
          <w:sz w:val="22"/>
        </w:rPr>
      </w:pPr>
    </w:p>
    <w:p w:rsidR="00C03C49" w:rsidRPr="005A175B" w:rsidRDefault="00C03C49" w:rsidP="00C03C49">
      <w:pPr>
        <w:ind w:left="720" w:hanging="720"/>
        <w:jc w:val="both"/>
        <w:rPr>
          <w:sz w:val="22"/>
        </w:rPr>
      </w:pPr>
      <w:r w:rsidRPr="005A175B">
        <w:rPr>
          <w:sz w:val="22"/>
        </w:rPr>
        <w:t xml:space="preserve">Week 7 (Feb. 27/Mar. 1): </w:t>
      </w:r>
    </w:p>
    <w:p w:rsidR="00C03C49" w:rsidRPr="005A175B" w:rsidRDefault="00C03C49" w:rsidP="00C03C49">
      <w:pPr>
        <w:pStyle w:val="ListParagraph"/>
        <w:numPr>
          <w:ilvl w:val="0"/>
          <w:numId w:val="3"/>
        </w:numPr>
        <w:jc w:val="both"/>
        <w:rPr>
          <w:sz w:val="22"/>
        </w:rPr>
      </w:pPr>
      <w:r w:rsidRPr="005A175B">
        <w:rPr>
          <w:sz w:val="22"/>
        </w:rPr>
        <w:t>Richard of St. Victor (</w:t>
      </w:r>
      <w:proofErr w:type="spellStart"/>
      <w:r w:rsidRPr="005A175B">
        <w:rPr>
          <w:sz w:val="22"/>
        </w:rPr>
        <w:t>Ewert</w:t>
      </w:r>
      <w:proofErr w:type="spellEnd"/>
      <w:r w:rsidRPr="005A175B">
        <w:rPr>
          <w:sz w:val="22"/>
        </w:rPr>
        <w:t xml:space="preserve"> Cousins, "A Theology of Interpersonal Relations", </w:t>
      </w:r>
      <w:r w:rsidRPr="005A175B">
        <w:rPr>
          <w:i/>
          <w:sz w:val="22"/>
        </w:rPr>
        <w:t>Thought</w:t>
      </w:r>
      <w:r w:rsidRPr="005A175B">
        <w:rPr>
          <w:sz w:val="22"/>
        </w:rPr>
        <w:t xml:space="preserve">, v. XLV, spring, 1970; Richard of St. Victor, </w:t>
      </w:r>
      <w:r w:rsidRPr="005A175B">
        <w:rPr>
          <w:i/>
          <w:sz w:val="22"/>
        </w:rPr>
        <w:t>Book Three of the Trinity</w:t>
      </w:r>
      <w:r w:rsidRPr="005A175B">
        <w:rPr>
          <w:sz w:val="22"/>
        </w:rPr>
        <w:t xml:space="preserve">) </w:t>
      </w:r>
    </w:p>
    <w:p w:rsidR="00C03C49" w:rsidRPr="005A175B" w:rsidRDefault="00C03C49" w:rsidP="00C03C49">
      <w:pPr>
        <w:ind w:left="1440" w:hanging="720"/>
        <w:jc w:val="both"/>
        <w:rPr>
          <w:sz w:val="22"/>
        </w:rPr>
      </w:pPr>
    </w:p>
    <w:p w:rsidR="00C03C49" w:rsidRPr="005A175B" w:rsidRDefault="00C03C49" w:rsidP="00C03C49">
      <w:pPr>
        <w:ind w:left="720" w:hanging="720"/>
        <w:jc w:val="both"/>
        <w:rPr>
          <w:sz w:val="22"/>
        </w:rPr>
      </w:pPr>
      <w:r w:rsidRPr="005A175B">
        <w:rPr>
          <w:sz w:val="22"/>
        </w:rPr>
        <w:t xml:space="preserve">Week 8 (Mar. 6/8): </w:t>
      </w:r>
    </w:p>
    <w:p w:rsidR="00C03C49" w:rsidRPr="005A175B" w:rsidRDefault="00C03C49" w:rsidP="00C03C49">
      <w:pPr>
        <w:pStyle w:val="ListParagraph"/>
        <w:numPr>
          <w:ilvl w:val="0"/>
          <w:numId w:val="3"/>
        </w:numPr>
        <w:jc w:val="both"/>
        <w:rPr>
          <w:sz w:val="22"/>
        </w:rPr>
      </w:pPr>
      <w:r w:rsidRPr="005A175B">
        <w:rPr>
          <w:sz w:val="22"/>
        </w:rPr>
        <w:t xml:space="preserve">Aquinas (Brian Davies, from </w:t>
      </w:r>
      <w:r w:rsidRPr="005A175B">
        <w:rPr>
          <w:i/>
          <w:sz w:val="22"/>
        </w:rPr>
        <w:t>The Thought of Thomas Aquinas</w:t>
      </w:r>
      <w:r w:rsidRPr="005A175B">
        <w:rPr>
          <w:sz w:val="22"/>
        </w:rPr>
        <w:t xml:space="preserve">; selections from </w:t>
      </w:r>
      <w:r w:rsidRPr="005A175B">
        <w:rPr>
          <w:i/>
          <w:sz w:val="22"/>
        </w:rPr>
        <w:t xml:space="preserve">Summa </w:t>
      </w:r>
      <w:proofErr w:type="spellStart"/>
      <w:r w:rsidRPr="005A175B">
        <w:rPr>
          <w:i/>
          <w:sz w:val="22"/>
        </w:rPr>
        <w:t>Theologiae</w:t>
      </w:r>
      <w:proofErr w:type="spellEnd"/>
      <w:r w:rsidRPr="005A175B">
        <w:rPr>
          <w:sz w:val="22"/>
        </w:rPr>
        <w:t>); Summary of Medieval Theology (</w:t>
      </w:r>
      <w:proofErr w:type="spellStart"/>
      <w:r w:rsidRPr="005A175B">
        <w:rPr>
          <w:sz w:val="22"/>
        </w:rPr>
        <w:t>O'Collins</w:t>
      </w:r>
      <w:proofErr w:type="spellEnd"/>
      <w:r w:rsidRPr="005A175B">
        <w:rPr>
          <w:sz w:val="22"/>
        </w:rPr>
        <w:t>, pp.135-51)</w:t>
      </w:r>
    </w:p>
    <w:p w:rsidR="00C03C49" w:rsidRPr="002B7503" w:rsidRDefault="00C03C49" w:rsidP="00C03C49">
      <w:pPr>
        <w:ind w:left="720" w:hanging="720"/>
        <w:jc w:val="both"/>
      </w:pPr>
      <w:r w:rsidRPr="002B7503">
        <w:t xml:space="preserve"> </w:t>
      </w:r>
    </w:p>
    <w:p w:rsidR="00C03C49" w:rsidRPr="002B7503" w:rsidRDefault="00C03C49" w:rsidP="00C03C49">
      <w:pPr>
        <w:pStyle w:val="Heading1"/>
        <w:rPr>
          <w:rFonts w:ascii="Times New Roman" w:hAnsi="Times New Roman"/>
          <w:sz w:val="24"/>
          <w:szCs w:val="24"/>
        </w:rPr>
      </w:pPr>
      <w:r w:rsidRPr="002B7503">
        <w:rPr>
          <w:rFonts w:ascii="Times New Roman" w:hAnsi="Times New Roman"/>
          <w:sz w:val="24"/>
          <w:szCs w:val="24"/>
        </w:rPr>
        <w:t>Section 4: Appropriating the Tradition Today</w:t>
      </w:r>
    </w:p>
    <w:p w:rsidR="00C03C49" w:rsidRPr="002B7503" w:rsidRDefault="00C03C49" w:rsidP="00C03C49">
      <w:pPr>
        <w:jc w:val="both"/>
      </w:pPr>
    </w:p>
    <w:p w:rsidR="00C03C49" w:rsidRPr="005A175B" w:rsidRDefault="00C03C49" w:rsidP="00C03C49">
      <w:pPr>
        <w:ind w:left="720" w:hanging="720"/>
        <w:jc w:val="both"/>
        <w:rPr>
          <w:sz w:val="22"/>
        </w:rPr>
      </w:pPr>
      <w:r w:rsidRPr="005A175B">
        <w:rPr>
          <w:sz w:val="22"/>
        </w:rPr>
        <w:t xml:space="preserve">Week 9 (Mar. 13/15): </w:t>
      </w:r>
    </w:p>
    <w:p w:rsidR="00C03C49" w:rsidRPr="005A175B" w:rsidRDefault="00C03C49" w:rsidP="00C03C49">
      <w:pPr>
        <w:pStyle w:val="ListParagraph"/>
        <w:numPr>
          <w:ilvl w:val="0"/>
          <w:numId w:val="4"/>
        </w:numPr>
        <w:jc w:val="both"/>
        <w:rPr>
          <w:sz w:val="22"/>
        </w:rPr>
      </w:pPr>
      <w:r w:rsidRPr="005A175B">
        <w:rPr>
          <w:sz w:val="22"/>
        </w:rPr>
        <w:t xml:space="preserve">The Contemporary Trinitarian Renewal; The Trinitarian Mystery of Love (Walter Kasper, from “The Trinitarian Mystery of God”, </w:t>
      </w:r>
      <w:r w:rsidRPr="005A175B">
        <w:rPr>
          <w:i/>
          <w:sz w:val="22"/>
        </w:rPr>
        <w:t>The God of Jesus Christ</w:t>
      </w:r>
      <w:r w:rsidRPr="005A175B">
        <w:rPr>
          <w:sz w:val="22"/>
        </w:rPr>
        <w:t>); Trinitarian Persons, Actions, and Missions (Gilles Emery, from “Returning to the Creative and Saving Action of the Trinity”,</w:t>
      </w:r>
      <w:r w:rsidRPr="005A175B">
        <w:rPr>
          <w:i/>
          <w:sz w:val="22"/>
        </w:rPr>
        <w:t xml:space="preserve"> The Trinity: An Introduction to Catholic Doctrine on the Triune God</w:t>
      </w:r>
      <w:r w:rsidRPr="005A175B">
        <w:rPr>
          <w:sz w:val="22"/>
        </w:rPr>
        <w:t>)</w:t>
      </w:r>
    </w:p>
    <w:p w:rsidR="00C03C49" w:rsidRPr="005A175B" w:rsidRDefault="00C03C49" w:rsidP="00C03C49">
      <w:pPr>
        <w:pStyle w:val="ListParagraph"/>
        <w:jc w:val="both"/>
        <w:rPr>
          <w:sz w:val="22"/>
        </w:rPr>
      </w:pPr>
    </w:p>
    <w:p w:rsidR="00C03C49" w:rsidRPr="005A175B" w:rsidRDefault="00C03C49" w:rsidP="00C03C49">
      <w:pPr>
        <w:jc w:val="both"/>
        <w:rPr>
          <w:sz w:val="22"/>
        </w:rPr>
      </w:pPr>
      <w:r w:rsidRPr="005A175B">
        <w:rPr>
          <w:sz w:val="22"/>
        </w:rPr>
        <w:t xml:space="preserve">Week 10 (Mar. 20/22):  </w:t>
      </w:r>
    </w:p>
    <w:p w:rsidR="00C03C49" w:rsidRPr="005A175B" w:rsidRDefault="00C03C49" w:rsidP="00C03C49">
      <w:pPr>
        <w:pStyle w:val="ListParagraph"/>
        <w:numPr>
          <w:ilvl w:val="0"/>
          <w:numId w:val="4"/>
        </w:numPr>
        <w:jc w:val="both"/>
        <w:rPr>
          <w:sz w:val="22"/>
        </w:rPr>
      </w:pPr>
      <w:r w:rsidRPr="005A175B">
        <w:rPr>
          <w:sz w:val="22"/>
        </w:rPr>
        <w:t xml:space="preserve">Trinitarian actions (cont’d) (Emery; </w:t>
      </w:r>
      <w:proofErr w:type="spellStart"/>
      <w:r w:rsidRPr="005A175B">
        <w:rPr>
          <w:sz w:val="22"/>
        </w:rPr>
        <w:t>O’Collins</w:t>
      </w:r>
      <w:proofErr w:type="spellEnd"/>
      <w:r w:rsidRPr="005A175B">
        <w:rPr>
          <w:sz w:val="22"/>
        </w:rPr>
        <w:t>, ch.10)</w:t>
      </w:r>
    </w:p>
    <w:p w:rsidR="00C03C49" w:rsidRPr="005A175B" w:rsidRDefault="00C03C49" w:rsidP="00C03C49">
      <w:pPr>
        <w:pStyle w:val="ListParagraph"/>
        <w:numPr>
          <w:ilvl w:val="0"/>
          <w:numId w:val="4"/>
        </w:numPr>
        <w:jc w:val="both"/>
        <w:rPr>
          <w:sz w:val="22"/>
        </w:rPr>
      </w:pPr>
      <w:r w:rsidRPr="005A175B">
        <w:rPr>
          <w:sz w:val="22"/>
        </w:rPr>
        <w:t>The Person of the Spirit (</w:t>
      </w:r>
      <w:proofErr w:type="spellStart"/>
      <w:r w:rsidRPr="005A175B">
        <w:rPr>
          <w:sz w:val="22"/>
        </w:rPr>
        <w:t>O'Collins</w:t>
      </w:r>
      <w:proofErr w:type="spellEnd"/>
      <w:r w:rsidRPr="005A175B">
        <w:rPr>
          <w:sz w:val="22"/>
        </w:rPr>
        <w:t xml:space="preserve">, </w:t>
      </w:r>
      <w:proofErr w:type="spellStart"/>
      <w:r w:rsidRPr="005A175B">
        <w:rPr>
          <w:sz w:val="22"/>
        </w:rPr>
        <w:t>ch.</w:t>
      </w:r>
      <w:proofErr w:type="spellEnd"/>
      <w:r w:rsidRPr="005A175B">
        <w:rPr>
          <w:sz w:val="22"/>
        </w:rPr>
        <w:t xml:space="preserve"> 9; Yves </w:t>
      </w:r>
      <w:proofErr w:type="spellStart"/>
      <w:r w:rsidRPr="005A175B">
        <w:rPr>
          <w:sz w:val="22"/>
        </w:rPr>
        <w:t>Congar</w:t>
      </w:r>
      <w:proofErr w:type="spellEnd"/>
      <w:r w:rsidRPr="005A175B">
        <w:rPr>
          <w:sz w:val="22"/>
        </w:rPr>
        <w:t xml:space="preserve">, from </w:t>
      </w:r>
      <w:r w:rsidRPr="005A175B">
        <w:rPr>
          <w:i/>
          <w:sz w:val="22"/>
        </w:rPr>
        <w:t>I Believe in the Holy Spirit</w:t>
      </w:r>
      <w:r w:rsidRPr="005A175B">
        <w:rPr>
          <w:sz w:val="22"/>
        </w:rPr>
        <w:t xml:space="preserve">, v.3) </w:t>
      </w:r>
    </w:p>
    <w:p w:rsidR="00C03C49" w:rsidRPr="005A175B" w:rsidRDefault="00C03C49" w:rsidP="00C03C49">
      <w:pPr>
        <w:pStyle w:val="ListParagraph"/>
        <w:numPr>
          <w:ilvl w:val="0"/>
          <w:numId w:val="4"/>
        </w:numPr>
        <w:jc w:val="both"/>
        <w:rPr>
          <w:sz w:val="22"/>
        </w:rPr>
      </w:pPr>
      <w:r w:rsidRPr="005A175B">
        <w:rPr>
          <w:sz w:val="22"/>
        </w:rPr>
        <w:t xml:space="preserve">The Procession of the Spirit (Alasdair Heron, “The </w:t>
      </w:r>
      <w:r w:rsidRPr="005A175B">
        <w:rPr>
          <w:i/>
          <w:sz w:val="22"/>
        </w:rPr>
        <w:t>Filioque</w:t>
      </w:r>
      <w:r w:rsidRPr="005A175B">
        <w:rPr>
          <w:sz w:val="22"/>
        </w:rPr>
        <w:t xml:space="preserve"> Clause”, </w:t>
      </w:r>
      <w:r w:rsidRPr="005A175B">
        <w:rPr>
          <w:i/>
          <w:sz w:val="22"/>
        </w:rPr>
        <w:t>One God in Trinity</w:t>
      </w:r>
      <w:r w:rsidRPr="005A175B">
        <w:rPr>
          <w:sz w:val="22"/>
        </w:rPr>
        <w:t>)</w:t>
      </w:r>
    </w:p>
    <w:p w:rsidR="00C03C49" w:rsidRPr="005A175B" w:rsidRDefault="00C03C49" w:rsidP="00C03C49">
      <w:pPr>
        <w:jc w:val="both"/>
        <w:rPr>
          <w:sz w:val="22"/>
        </w:rPr>
      </w:pPr>
    </w:p>
    <w:p w:rsidR="00C03C49" w:rsidRPr="005A175B" w:rsidRDefault="00C03C49" w:rsidP="00C03C49">
      <w:pPr>
        <w:ind w:left="720" w:hanging="720"/>
        <w:jc w:val="both"/>
        <w:rPr>
          <w:sz w:val="22"/>
        </w:rPr>
      </w:pPr>
      <w:r w:rsidRPr="005A175B">
        <w:rPr>
          <w:sz w:val="22"/>
        </w:rPr>
        <w:t>Week 11 (Mar. 27/29):</w:t>
      </w:r>
    </w:p>
    <w:p w:rsidR="00C03C49" w:rsidRPr="005A175B" w:rsidRDefault="00C03C49" w:rsidP="00C03C49">
      <w:pPr>
        <w:pStyle w:val="ListParagraph"/>
        <w:numPr>
          <w:ilvl w:val="0"/>
          <w:numId w:val="4"/>
        </w:numPr>
        <w:jc w:val="both"/>
        <w:rPr>
          <w:sz w:val="22"/>
        </w:rPr>
      </w:pPr>
      <w:r w:rsidRPr="005A175B">
        <w:rPr>
          <w:sz w:val="22"/>
        </w:rPr>
        <w:t xml:space="preserve">In the Image of The Triune God: Trinity and Grace (Anne Hunt, “Trinity, Grace, and the Moral Life”, </w:t>
      </w:r>
      <w:r w:rsidRPr="005A175B">
        <w:rPr>
          <w:i/>
          <w:sz w:val="22"/>
        </w:rPr>
        <w:t>The Trinity: Nexus of the Mysteries of the Christian Faith</w:t>
      </w:r>
      <w:r w:rsidRPr="005A175B">
        <w:rPr>
          <w:sz w:val="22"/>
        </w:rPr>
        <w:t>)</w:t>
      </w:r>
    </w:p>
    <w:p w:rsidR="00C03C49" w:rsidRPr="005A175B" w:rsidRDefault="00C03C49" w:rsidP="00C03C49">
      <w:pPr>
        <w:pStyle w:val="ListParagraph"/>
        <w:numPr>
          <w:ilvl w:val="0"/>
          <w:numId w:val="4"/>
        </w:numPr>
        <w:jc w:val="both"/>
        <w:rPr>
          <w:sz w:val="22"/>
        </w:rPr>
      </w:pPr>
      <w:r w:rsidRPr="005A175B">
        <w:rPr>
          <w:sz w:val="22"/>
        </w:rPr>
        <w:t xml:space="preserve">Deification and Life in the Trinity (Daniel Keating, “Trinity and Salvation: Christian Life as an Existence in the Trinity”, </w:t>
      </w:r>
      <w:r w:rsidRPr="005A175B">
        <w:rPr>
          <w:i/>
          <w:sz w:val="22"/>
        </w:rPr>
        <w:t>The Oxford Handbook of the Trinity</w:t>
      </w:r>
      <w:r w:rsidRPr="005A175B">
        <w:rPr>
          <w:sz w:val="22"/>
        </w:rPr>
        <w:t xml:space="preserve">); The Paschal Mystery and the Triune God (Bruno Forte, “The Trinitarian History of Easter”, from </w:t>
      </w:r>
      <w:r w:rsidRPr="005A175B">
        <w:rPr>
          <w:i/>
          <w:sz w:val="22"/>
        </w:rPr>
        <w:t>The Trinity as History</w:t>
      </w:r>
      <w:r w:rsidRPr="005A175B">
        <w:rPr>
          <w:sz w:val="22"/>
        </w:rPr>
        <w:t>)</w:t>
      </w:r>
    </w:p>
    <w:p w:rsidR="00C03C49" w:rsidRPr="002B7503" w:rsidRDefault="00C03C49" w:rsidP="00C03C49">
      <w:pPr>
        <w:pStyle w:val="BodyText"/>
        <w:rPr>
          <w:rFonts w:ascii="Times New Roman" w:hAnsi="Times New Roman"/>
          <w:sz w:val="24"/>
          <w:szCs w:val="24"/>
          <w:lang w:val="en-CA"/>
        </w:rPr>
      </w:pPr>
    </w:p>
    <w:p w:rsidR="00C03C49" w:rsidRPr="005A175B" w:rsidRDefault="00C03C49" w:rsidP="00C03C49">
      <w:pPr>
        <w:ind w:left="720" w:hanging="720"/>
        <w:jc w:val="both"/>
        <w:rPr>
          <w:sz w:val="22"/>
        </w:rPr>
      </w:pPr>
      <w:r w:rsidRPr="005A175B">
        <w:rPr>
          <w:sz w:val="22"/>
        </w:rPr>
        <w:t xml:space="preserve">Week 12 (Apr. 3/5): </w:t>
      </w:r>
    </w:p>
    <w:p w:rsidR="00C03C49" w:rsidRPr="005A175B" w:rsidRDefault="00C03C49" w:rsidP="00C03C49">
      <w:pPr>
        <w:pStyle w:val="ListParagraph"/>
        <w:numPr>
          <w:ilvl w:val="0"/>
          <w:numId w:val="4"/>
        </w:numPr>
        <w:jc w:val="both"/>
        <w:rPr>
          <w:sz w:val="22"/>
        </w:rPr>
      </w:pPr>
      <w:r w:rsidRPr="005A175B">
        <w:rPr>
          <w:sz w:val="22"/>
        </w:rPr>
        <w:t xml:space="preserve">The Paschal Mystery and the Triune God, cont’d (Forte) </w:t>
      </w:r>
    </w:p>
    <w:p w:rsidR="00C03C49" w:rsidRPr="005A175B" w:rsidRDefault="00C03C49" w:rsidP="00C03C49">
      <w:pPr>
        <w:pStyle w:val="ListParagraph"/>
        <w:numPr>
          <w:ilvl w:val="0"/>
          <w:numId w:val="4"/>
        </w:numPr>
        <w:jc w:val="both"/>
        <w:rPr>
          <w:sz w:val="22"/>
        </w:rPr>
      </w:pPr>
      <w:r w:rsidRPr="005A175B">
        <w:rPr>
          <w:sz w:val="22"/>
        </w:rPr>
        <w:t xml:space="preserve">Trinitarian Communion, Church, and Eucharist (Michael </w:t>
      </w:r>
      <w:proofErr w:type="spellStart"/>
      <w:r w:rsidRPr="005A175B">
        <w:rPr>
          <w:sz w:val="22"/>
        </w:rPr>
        <w:t>Figura</w:t>
      </w:r>
      <w:proofErr w:type="spellEnd"/>
      <w:r w:rsidRPr="005A175B">
        <w:rPr>
          <w:sz w:val="22"/>
        </w:rPr>
        <w:t>, “Church and Eucharist in the Light of the Trinitarian Mystery")</w:t>
      </w:r>
    </w:p>
    <w:p w:rsidR="00C03C49" w:rsidRPr="005A175B" w:rsidRDefault="00C03C49" w:rsidP="00C03C49">
      <w:pPr>
        <w:pStyle w:val="ListParagraph"/>
        <w:numPr>
          <w:ilvl w:val="0"/>
          <w:numId w:val="4"/>
        </w:numPr>
        <w:jc w:val="both"/>
        <w:rPr>
          <w:sz w:val="22"/>
        </w:rPr>
      </w:pPr>
      <w:r w:rsidRPr="005A175B">
        <w:rPr>
          <w:sz w:val="22"/>
        </w:rPr>
        <w:t xml:space="preserve">Teaching the Mystery (Richard </w:t>
      </w:r>
      <w:proofErr w:type="spellStart"/>
      <w:r w:rsidRPr="005A175B">
        <w:rPr>
          <w:sz w:val="22"/>
        </w:rPr>
        <w:t>Gaillardetz</w:t>
      </w:r>
      <w:proofErr w:type="spellEnd"/>
      <w:r w:rsidRPr="005A175B">
        <w:rPr>
          <w:sz w:val="22"/>
        </w:rPr>
        <w:t>, “To Teach of the Trinity”)</w:t>
      </w:r>
    </w:p>
    <w:p w:rsidR="00C03C49" w:rsidRPr="002B7503" w:rsidRDefault="00C03C49" w:rsidP="00C03C49">
      <w:pPr>
        <w:ind w:left="1440" w:hanging="720"/>
        <w:jc w:val="both"/>
      </w:pPr>
    </w:p>
    <w:p w:rsidR="00C03C49" w:rsidRPr="00ED41B4" w:rsidRDefault="00C03C49" w:rsidP="00C03C49">
      <w:pPr>
        <w:widowControl/>
      </w:pPr>
      <w:r w:rsidRPr="00ED41B4">
        <w:rPr>
          <w:b/>
          <w:bCs/>
        </w:rPr>
        <w:t>F.  UNIVERSITY REGULATIONS</w:t>
      </w:r>
      <w:r>
        <w:rPr>
          <w:b/>
          <w:bCs/>
        </w:rPr>
        <w:t xml:space="preserve"> AND SUPPORT SERVICES</w:t>
      </w:r>
    </w:p>
    <w:p w:rsidR="00C03C49" w:rsidRPr="00ED41B4" w:rsidRDefault="00C03C49" w:rsidP="00C03C49">
      <w:pPr>
        <w:widowControl/>
      </w:pPr>
    </w:p>
    <w:p w:rsidR="00C03C49" w:rsidRPr="005A175B" w:rsidRDefault="00C03C49" w:rsidP="00C03C49">
      <w:pPr>
        <w:widowControl/>
        <w:rPr>
          <w:color w:val="000000"/>
          <w:sz w:val="22"/>
          <w:lang w:val="en-CA"/>
        </w:rPr>
      </w:pPr>
      <w:r w:rsidRPr="005A175B">
        <w:rPr>
          <w:color w:val="000000"/>
          <w:sz w:val="22"/>
          <w:lang w:val="en-CA"/>
        </w:rPr>
        <w:t>Scholastic offences are taken seriously and students are directed to read the appropriate policy, specifically, the definition of what constitutes a Scholastic Offence, at the following Web site:</w:t>
      </w:r>
    </w:p>
    <w:p w:rsidR="00C03C49" w:rsidRPr="005A175B" w:rsidRDefault="00C03C49" w:rsidP="00C03C49">
      <w:pPr>
        <w:widowControl/>
        <w:rPr>
          <w:color w:val="0000FF"/>
          <w:sz w:val="22"/>
          <w:lang w:val="en-CA"/>
        </w:rPr>
      </w:pPr>
      <w:r w:rsidRPr="005A175B">
        <w:rPr>
          <w:color w:val="0000FF"/>
          <w:sz w:val="22"/>
          <w:lang w:val="en-CA"/>
        </w:rPr>
        <w:t>http://www.uwo.ca/univsec/pdf/academic_policies/appeals/scholastic_discipline_undergrad.pdf</w:t>
      </w:r>
    </w:p>
    <w:p w:rsidR="005A175B" w:rsidRDefault="005A175B" w:rsidP="00C03C49">
      <w:pPr>
        <w:widowControl/>
        <w:rPr>
          <w:color w:val="000000"/>
          <w:sz w:val="22"/>
          <w:lang w:val="en-CA"/>
        </w:rPr>
      </w:pPr>
    </w:p>
    <w:p w:rsidR="00C03C49" w:rsidRPr="005A175B" w:rsidRDefault="00C03C49" w:rsidP="00C03C49">
      <w:pPr>
        <w:widowControl/>
        <w:rPr>
          <w:color w:val="000000"/>
          <w:sz w:val="22"/>
          <w:lang w:val="en-CA"/>
        </w:rPr>
      </w:pPr>
      <w:r w:rsidRPr="005A175B">
        <w:rPr>
          <w:color w:val="000000"/>
          <w:sz w:val="22"/>
          <w:lang w:val="en-CA"/>
        </w:rPr>
        <w:t>All required papers may be subject to submission for textual similarity review to the</w:t>
      </w:r>
    </w:p>
    <w:p w:rsidR="00C03C49" w:rsidRPr="005A175B" w:rsidRDefault="00C03C49" w:rsidP="00C03C49">
      <w:pPr>
        <w:widowControl/>
        <w:rPr>
          <w:color w:val="000000"/>
          <w:sz w:val="22"/>
          <w:lang w:val="en-CA"/>
        </w:rPr>
      </w:pPr>
      <w:r w:rsidRPr="005A175B">
        <w:rPr>
          <w:color w:val="000000"/>
          <w:sz w:val="22"/>
          <w:lang w:val="en-CA"/>
        </w:rPr>
        <w:t>commercial plagiarism detection software under license to the University for the detection</w:t>
      </w:r>
    </w:p>
    <w:p w:rsidR="00C03C49" w:rsidRPr="005A175B" w:rsidRDefault="00C03C49" w:rsidP="00C03C49">
      <w:pPr>
        <w:widowControl/>
        <w:rPr>
          <w:color w:val="000000"/>
          <w:sz w:val="22"/>
          <w:lang w:val="en-CA"/>
        </w:rPr>
      </w:pPr>
      <w:r w:rsidRPr="005A175B">
        <w:rPr>
          <w:color w:val="000000"/>
          <w:sz w:val="22"/>
          <w:lang w:val="en-CA"/>
        </w:rPr>
        <w:t>of plagiarism. All papers submitted for such checking will be included as source</w:t>
      </w:r>
    </w:p>
    <w:p w:rsidR="00C03C49" w:rsidRPr="005A175B" w:rsidRDefault="00C03C49" w:rsidP="00C03C49">
      <w:pPr>
        <w:widowControl/>
        <w:rPr>
          <w:color w:val="000000"/>
          <w:sz w:val="22"/>
          <w:lang w:val="en-CA"/>
        </w:rPr>
      </w:pPr>
      <w:r w:rsidRPr="005A175B">
        <w:rPr>
          <w:color w:val="000000"/>
          <w:sz w:val="22"/>
          <w:lang w:val="en-CA"/>
        </w:rPr>
        <w:t>documents in the reference database for the purpose of detecting plagiarism of papers</w:t>
      </w:r>
    </w:p>
    <w:p w:rsidR="00C03C49" w:rsidRPr="005A175B" w:rsidRDefault="00C03C49" w:rsidP="00C03C49">
      <w:pPr>
        <w:widowControl/>
        <w:rPr>
          <w:color w:val="000000"/>
          <w:sz w:val="22"/>
          <w:lang w:val="en-CA"/>
        </w:rPr>
      </w:pPr>
      <w:r w:rsidRPr="005A175B">
        <w:rPr>
          <w:color w:val="000000"/>
          <w:sz w:val="22"/>
          <w:lang w:val="en-CA"/>
        </w:rPr>
        <w:t>subsequently submitted to the system. Use of the service is subject to the licensing</w:t>
      </w:r>
    </w:p>
    <w:p w:rsidR="00C03C49" w:rsidRPr="005A175B" w:rsidRDefault="00C03C49" w:rsidP="00C03C49">
      <w:pPr>
        <w:widowControl/>
        <w:rPr>
          <w:color w:val="000000"/>
          <w:sz w:val="22"/>
          <w:lang w:val="en-CA"/>
        </w:rPr>
      </w:pPr>
      <w:r w:rsidRPr="005A175B">
        <w:rPr>
          <w:color w:val="000000"/>
          <w:sz w:val="22"/>
          <w:lang w:val="en-CA"/>
        </w:rPr>
        <w:t>agreement, currently between The University of Western Ontario and Turnitin.com</w:t>
      </w:r>
    </w:p>
    <w:p w:rsidR="00C03C49" w:rsidRPr="005A175B" w:rsidRDefault="00F3648F" w:rsidP="00C03C49">
      <w:pPr>
        <w:widowControl/>
        <w:rPr>
          <w:i/>
          <w:iCs/>
          <w:color w:val="000000"/>
          <w:sz w:val="22"/>
          <w:lang w:val="en-CA"/>
        </w:rPr>
      </w:pPr>
      <w:hyperlink r:id="rId7" w:history="1">
        <w:r w:rsidR="00C03C49" w:rsidRPr="005A175B">
          <w:rPr>
            <w:rStyle w:val="Hyperlink"/>
            <w:i/>
            <w:iCs/>
            <w:sz w:val="22"/>
            <w:lang w:val="en-CA"/>
          </w:rPr>
          <w:t>http://www.turnitin.com</w:t>
        </w:r>
      </w:hyperlink>
      <w:r w:rsidR="00C03C49" w:rsidRPr="005A175B">
        <w:rPr>
          <w:i/>
          <w:iCs/>
          <w:color w:val="000000"/>
          <w:sz w:val="22"/>
          <w:lang w:val="en-CA"/>
        </w:rPr>
        <w:t xml:space="preserve">.” </w:t>
      </w:r>
    </w:p>
    <w:p w:rsidR="00C03C49" w:rsidRPr="005A175B" w:rsidRDefault="00C03C49" w:rsidP="00C03C49">
      <w:pPr>
        <w:widowControl/>
        <w:rPr>
          <w:i/>
          <w:iCs/>
          <w:color w:val="000000"/>
          <w:sz w:val="22"/>
          <w:lang w:val="en-CA"/>
        </w:rPr>
      </w:pPr>
    </w:p>
    <w:p w:rsidR="00C03C49" w:rsidRPr="005A175B" w:rsidRDefault="00C03C49" w:rsidP="00C03C49">
      <w:pPr>
        <w:widowControl/>
        <w:rPr>
          <w:sz w:val="22"/>
        </w:rPr>
      </w:pPr>
      <w:r w:rsidRPr="005A175B">
        <w:rPr>
          <w:b/>
          <w:bCs/>
          <w:sz w:val="22"/>
        </w:rPr>
        <w:t>Students are responsible</w:t>
      </w:r>
      <w:r w:rsidRPr="005A175B">
        <w:rPr>
          <w:sz w:val="22"/>
        </w:rPr>
        <w:t xml:space="preserve"> for knowing the University’s academic policies and regulations and any particularities of their own course of study.  Ignorance of these policies is not an excuse for any violation thereof.  The following policies are particularly important to note:</w:t>
      </w:r>
    </w:p>
    <w:p w:rsidR="00C03C49" w:rsidRPr="005A175B" w:rsidRDefault="00C03C49" w:rsidP="00C03C49">
      <w:pPr>
        <w:widowControl/>
        <w:rPr>
          <w:sz w:val="22"/>
        </w:rPr>
      </w:pPr>
    </w:p>
    <w:p w:rsidR="00C03C49" w:rsidRPr="005A175B" w:rsidRDefault="00C03C49" w:rsidP="00C03C49">
      <w:pPr>
        <w:widowControl/>
        <w:ind w:left="720"/>
        <w:rPr>
          <w:sz w:val="22"/>
        </w:rPr>
      </w:pPr>
      <w:r w:rsidRPr="005A175B">
        <w:rPr>
          <w:b/>
          <w:bCs/>
          <w:sz w:val="22"/>
        </w:rPr>
        <w:t>Submission of Assignments</w:t>
      </w:r>
      <w:r w:rsidRPr="005A175B">
        <w:rPr>
          <w:sz w:val="22"/>
        </w:rPr>
        <w:t xml:space="preserve">: </w:t>
      </w:r>
      <w:r w:rsidRPr="005A175B">
        <w:rPr>
          <w:sz w:val="22"/>
          <w:lang w:val="en-CA"/>
        </w:rPr>
        <w:t>It is the responsibility of the student to organize his or her work so that the assignments are completed on time.  A penalty of 10% of the value of the assignment will be deducted for each day it is overdue without permission.</w:t>
      </w:r>
    </w:p>
    <w:p w:rsidR="00C03C49" w:rsidRPr="005A175B" w:rsidRDefault="00C03C49" w:rsidP="00C03C49">
      <w:pPr>
        <w:widowControl/>
        <w:rPr>
          <w:sz w:val="22"/>
        </w:rPr>
      </w:pPr>
    </w:p>
    <w:p w:rsidR="00C03C49" w:rsidRPr="005A175B" w:rsidRDefault="00C03C49" w:rsidP="00C03C49">
      <w:pPr>
        <w:widowControl/>
        <w:ind w:left="720"/>
        <w:rPr>
          <w:sz w:val="22"/>
        </w:rPr>
      </w:pPr>
      <w:r w:rsidRPr="005A175B">
        <w:rPr>
          <w:b/>
          <w:bCs/>
          <w:sz w:val="22"/>
        </w:rPr>
        <w:t>Plagiarism</w:t>
      </w:r>
      <w:r w:rsidRPr="005A175B">
        <w:rPr>
          <w:sz w:val="22"/>
        </w:rPr>
        <w:t>: Students must write their essays and assignments in their own words.  Whenever students take an idea or a passage from another author, they must acknowledge their debt by quotation marks and/or footnotes.  Plagiarism is a major academic offense.  Students may be required to submit their work in electronic form for plagiarism checking.</w:t>
      </w:r>
    </w:p>
    <w:p w:rsidR="00C03C49" w:rsidRPr="005A175B" w:rsidRDefault="00C03C49" w:rsidP="00C03C49">
      <w:pPr>
        <w:widowControl/>
        <w:rPr>
          <w:sz w:val="22"/>
        </w:rPr>
      </w:pPr>
    </w:p>
    <w:p w:rsidR="00C03C49" w:rsidRPr="005A175B" w:rsidRDefault="00C03C49" w:rsidP="00C03C49">
      <w:pPr>
        <w:widowControl/>
        <w:ind w:left="720"/>
        <w:rPr>
          <w:sz w:val="22"/>
        </w:rPr>
      </w:pPr>
      <w:r w:rsidRPr="005A175B">
        <w:rPr>
          <w:b/>
          <w:bCs/>
          <w:sz w:val="22"/>
          <w:lang w:val="en-CA"/>
        </w:rPr>
        <w:t>Selection and Registration of Courses</w:t>
      </w:r>
      <w:r w:rsidRPr="005A175B">
        <w:rPr>
          <w:sz w:val="22"/>
          <w:lang w:val="en-CA"/>
        </w:rPr>
        <w:t>: Students are responsible for ensuring that their selection of courses is appropriate and accurately recorded, that all prerequisite course(s) have been successfully completed, and that they are aware of any anti-requisite course(s) that they have taken.</w:t>
      </w:r>
    </w:p>
    <w:p w:rsidR="00C03C49" w:rsidRPr="00ED41B4" w:rsidRDefault="00C03C49" w:rsidP="00C03C49">
      <w:pPr>
        <w:widowControl/>
      </w:pPr>
    </w:p>
    <w:p w:rsidR="00C03C49" w:rsidRPr="005A175B" w:rsidRDefault="00C03C49" w:rsidP="00C03C49">
      <w:pPr>
        <w:widowControl/>
        <w:rPr>
          <w:b/>
          <w:bCs/>
          <w:color w:val="000000"/>
          <w:sz w:val="22"/>
          <w:lang w:val="en-CA"/>
        </w:rPr>
      </w:pPr>
      <w:r w:rsidRPr="005A175B">
        <w:rPr>
          <w:b/>
          <w:bCs/>
          <w:color w:val="000000"/>
          <w:sz w:val="22"/>
          <w:lang w:val="en-CA"/>
        </w:rPr>
        <w:t>Support Services</w:t>
      </w:r>
    </w:p>
    <w:p w:rsidR="00C03C49" w:rsidRPr="005A175B" w:rsidRDefault="00C03C49" w:rsidP="00C03C49">
      <w:pPr>
        <w:widowControl/>
        <w:rPr>
          <w:color w:val="000000"/>
          <w:sz w:val="22"/>
          <w:lang w:val="en-CA"/>
        </w:rPr>
      </w:pPr>
      <w:r w:rsidRPr="005A175B">
        <w:rPr>
          <w:color w:val="000000"/>
          <w:sz w:val="22"/>
          <w:lang w:val="en-CA"/>
        </w:rPr>
        <w:t xml:space="preserve">Students who are in emotional/mental health distress should refer to Mental </w:t>
      </w:r>
      <w:proofErr w:type="spellStart"/>
      <w:r w:rsidRPr="005A175B">
        <w:rPr>
          <w:color w:val="000000"/>
          <w:sz w:val="22"/>
          <w:lang w:val="en-CA"/>
        </w:rPr>
        <w:t>Health@Western</w:t>
      </w:r>
      <w:proofErr w:type="spellEnd"/>
      <w:r w:rsidRPr="005A175B">
        <w:rPr>
          <w:color w:val="000000"/>
          <w:sz w:val="22"/>
          <w:lang w:val="en-CA"/>
        </w:rPr>
        <w:t>:</w:t>
      </w:r>
    </w:p>
    <w:p w:rsidR="00C03C49" w:rsidRPr="005A175B" w:rsidRDefault="00C03C49" w:rsidP="00C03C49">
      <w:pPr>
        <w:widowControl/>
        <w:rPr>
          <w:color w:val="000000"/>
          <w:sz w:val="22"/>
          <w:lang w:val="en-CA"/>
        </w:rPr>
      </w:pPr>
      <w:r w:rsidRPr="005A175B">
        <w:rPr>
          <w:color w:val="0000FF"/>
          <w:sz w:val="22"/>
          <w:lang w:val="en-CA"/>
        </w:rPr>
        <w:t xml:space="preserve">http://www.uwo.ca/uwocom/mentalhealth/ </w:t>
      </w:r>
      <w:r w:rsidRPr="005A175B">
        <w:rPr>
          <w:color w:val="000000"/>
          <w:sz w:val="22"/>
          <w:lang w:val="en-CA"/>
        </w:rPr>
        <w:t>for a complete list of options about how to obtain help.</w:t>
      </w:r>
    </w:p>
    <w:p w:rsidR="00C03C49" w:rsidRPr="005A175B" w:rsidRDefault="00C03C49" w:rsidP="00C03C49">
      <w:pPr>
        <w:widowControl/>
        <w:rPr>
          <w:color w:val="000000"/>
          <w:sz w:val="22"/>
          <w:lang w:val="en-CA"/>
        </w:rPr>
      </w:pPr>
    </w:p>
    <w:p w:rsidR="00C03C49" w:rsidRPr="005A175B" w:rsidRDefault="00C03C49" w:rsidP="00C03C49">
      <w:pPr>
        <w:widowControl/>
        <w:rPr>
          <w:color w:val="000000"/>
          <w:sz w:val="22"/>
          <w:lang w:val="en-CA"/>
        </w:rPr>
      </w:pPr>
      <w:r w:rsidRPr="005A175B">
        <w:rPr>
          <w:color w:val="000000"/>
          <w:sz w:val="22"/>
          <w:lang w:val="en-CA"/>
        </w:rPr>
        <w:t xml:space="preserve">University Students Council provides many valuable support services for students (including the health insurance plan) </w:t>
      </w:r>
      <w:hyperlink r:id="rId8" w:history="1">
        <w:r w:rsidRPr="005A175B">
          <w:rPr>
            <w:rStyle w:val="Hyperlink"/>
            <w:sz w:val="22"/>
            <w:lang w:val="en-CA"/>
          </w:rPr>
          <w:t>http://westernusc.ca/services/</w:t>
        </w:r>
      </w:hyperlink>
      <w:r w:rsidRPr="005A175B">
        <w:rPr>
          <w:color w:val="000000"/>
          <w:sz w:val="22"/>
          <w:lang w:val="en-CA"/>
        </w:rPr>
        <w:t>.</w:t>
      </w:r>
    </w:p>
    <w:p w:rsidR="00C03C49" w:rsidRPr="005A175B" w:rsidRDefault="00C03C49" w:rsidP="00C03C49">
      <w:pPr>
        <w:widowControl/>
        <w:rPr>
          <w:color w:val="000000"/>
          <w:sz w:val="22"/>
          <w:lang w:val="en-CA"/>
        </w:rPr>
      </w:pPr>
    </w:p>
    <w:p w:rsidR="00C03C49" w:rsidRPr="005A175B" w:rsidRDefault="00C03C49" w:rsidP="00C03C49">
      <w:pPr>
        <w:widowControl/>
        <w:rPr>
          <w:b/>
          <w:bCs/>
          <w:color w:val="000000"/>
          <w:sz w:val="22"/>
          <w:lang w:val="en-CA"/>
        </w:rPr>
      </w:pPr>
      <w:r w:rsidRPr="005A175B">
        <w:rPr>
          <w:b/>
          <w:bCs/>
          <w:color w:val="000000"/>
          <w:sz w:val="22"/>
          <w:lang w:val="en-CA"/>
        </w:rPr>
        <w:t>Information about Counselling and Student Development, including Services for Students with Disabilities at King’s is available at</w:t>
      </w:r>
    </w:p>
    <w:p w:rsidR="00C03C49" w:rsidRPr="005A175B" w:rsidRDefault="00C03C49" w:rsidP="00C03C49">
      <w:pPr>
        <w:widowControl/>
        <w:rPr>
          <w:color w:val="0000FF"/>
          <w:sz w:val="22"/>
          <w:lang w:val="en-CA"/>
        </w:rPr>
      </w:pPr>
      <w:r w:rsidRPr="005A175B">
        <w:rPr>
          <w:color w:val="0000FF"/>
          <w:sz w:val="22"/>
          <w:lang w:val="en-CA"/>
        </w:rPr>
        <w:t>http://www.kings.uwo.ca/about-kings/who-we-are/administrative-departments/dean-of-students/</w:t>
      </w:r>
    </w:p>
    <w:p w:rsidR="00C03C49" w:rsidRPr="005A175B" w:rsidRDefault="00C03C49" w:rsidP="00C03C49">
      <w:pPr>
        <w:widowControl/>
        <w:rPr>
          <w:b/>
          <w:bCs/>
          <w:color w:val="000000"/>
          <w:sz w:val="22"/>
          <w:lang w:val="en-CA"/>
        </w:rPr>
      </w:pPr>
    </w:p>
    <w:p w:rsidR="00C03C49" w:rsidRPr="005A175B" w:rsidRDefault="00C03C49" w:rsidP="00C03C49">
      <w:pPr>
        <w:widowControl/>
        <w:rPr>
          <w:color w:val="0000FF"/>
          <w:sz w:val="22"/>
          <w:lang w:val="en-CA"/>
        </w:rPr>
      </w:pPr>
      <w:r w:rsidRPr="005A175B">
        <w:rPr>
          <w:b/>
          <w:bCs/>
          <w:color w:val="000000"/>
          <w:sz w:val="22"/>
          <w:lang w:val="en-CA"/>
        </w:rPr>
        <w:t xml:space="preserve">For emotional/mental health assistance see specifically: </w:t>
      </w:r>
      <w:r w:rsidRPr="005A175B">
        <w:rPr>
          <w:color w:val="0000FF"/>
          <w:sz w:val="22"/>
          <w:lang w:val="en-CA"/>
        </w:rPr>
        <w:t>http://www.kings.uwo.ca/currentstudents/</w:t>
      </w:r>
    </w:p>
    <w:p w:rsidR="00C03C49" w:rsidRPr="005A175B" w:rsidRDefault="00C03C49" w:rsidP="00C03C49">
      <w:pPr>
        <w:widowControl/>
        <w:rPr>
          <w:color w:val="0000FF"/>
          <w:sz w:val="22"/>
          <w:lang w:val="en-CA"/>
        </w:rPr>
      </w:pPr>
      <w:r w:rsidRPr="005A175B">
        <w:rPr>
          <w:color w:val="0000FF"/>
          <w:sz w:val="22"/>
          <w:lang w:val="en-CA"/>
        </w:rPr>
        <w:t>campus-services/student-support-services/personal-counselling/</w:t>
      </w:r>
    </w:p>
    <w:p w:rsidR="00C03C49" w:rsidRPr="005A175B" w:rsidRDefault="00C03C49" w:rsidP="00C03C49">
      <w:pPr>
        <w:widowControl/>
        <w:rPr>
          <w:b/>
          <w:bCs/>
          <w:color w:val="000000"/>
          <w:sz w:val="22"/>
          <w:lang w:val="en-CA"/>
        </w:rPr>
      </w:pPr>
    </w:p>
    <w:p w:rsidR="00C03C49" w:rsidRPr="005A175B" w:rsidRDefault="00C03C49" w:rsidP="00C03C49">
      <w:pPr>
        <w:widowControl/>
        <w:rPr>
          <w:color w:val="0000FF"/>
          <w:sz w:val="22"/>
          <w:lang w:val="en-CA"/>
        </w:rPr>
      </w:pPr>
      <w:r w:rsidRPr="005A175B">
        <w:rPr>
          <w:b/>
          <w:bCs/>
          <w:color w:val="000000"/>
          <w:sz w:val="22"/>
          <w:lang w:val="en-CA"/>
        </w:rPr>
        <w:t>The web site for Academic Services at King’s University College is</w:t>
      </w:r>
      <w:r w:rsidR="005A175B">
        <w:rPr>
          <w:b/>
          <w:bCs/>
          <w:color w:val="000000"/>
          <w:sz w:val="22"/>
          <w:lang w:val="en-CA"/>
        </w:rPr>
        <w:t xml:space="preserve">: </w:t>
      </w:r>
      <w:r w:rsidRPr="005A175B">
        <w:rPr>
          <w:color w:val="0000FF"/>
          <w:sz w:val="22"/>
          <w:lang w:val="en-CA"/>
        </w:rPr>
        <w:t>http://www.kings.uwo.ca/currentstudents/</w:t>
      </w:r>
    </w:p>
    <w:p w:rsidR="00C03C49" w:rsidRPr="005A175B" w:rsidRDefault="00C03C49" w:rsidP="00C03C49">
      <w:pPr>
        <w:widowControl/>
        <w:rPr>
          <w:sz w:val="22"/>
        </w:rPr>
      </w:pPr>
      <w:r w:rsidRPr="005A175B">
        <w:rPr>
          <w:color w:val="0000FF"/>
          <w:sz w:val="22"/>
          <w:lang w:val="en-CA"/>
        </w:rPr>
        <w:t>academic-support/</w:t>
      </w:r>
    </w:p>
    <w:p w:rsidR="00C03C49" w:rsidRPr="005A175B" w:rsidRDefault="00C03C49" w:rsidP="00C03C49">
      <w:pPr>
        <w:widowControl/>
        <w:rPr>
          <w:sz w:val="22"/>
        </w:rPr>
      </w:pPr>
      <w:r w:rsidRPr="005A175B">
        <w:rPr>
          <w:sz w:val="22"/>
        </w:rPr>
        <w:t>These services are not meant to replace those offered at the Seminary, but may be beneficial to our students after consultation with the appropriate instructors, administrators, and formators.</w:t>
      </w:r>
    </w:p>
    <w:p w:rsidR="00415E99" w:rsidRDefault="00415E99"/>
    <w:sectPr w:rsidR="00415E99" w:rsidSect="005A175B">
      <w:headerReference w:type="default" r:id="rId9"/>
      <w:pgSz w:w="12240" w:h="15840"/>
      <w:pgMar w:top="1152" w:right="1440" w:bottom="1152" w:left="1440" w:header="576"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39B" w:rsidRDefault="00A5539B" w:rsidP="00A5539B">
      <w:r>
        <w:separator/>
      </w:r>
    </w:p>
  </w:endnote>
  <w:endnote w:type="continuationSeparator" w:id="0">
    <w:p w:rsidR="00A5539B" w:rsidRDefault="00A5539B" w:rsidP="00A5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39B" w:rsidRDefault="00A5539B" w:rsidP="00A5539B">
      <w:r>
        <w:separator/>
      </w:r>
    </w:p>
  </w:footnote>
  <w:footnote w:type="continuationSeparator" w:id="0">
    <w:p w:rsidR="00A5539B" w:rsidRDefault="00A5539B" w:rsidP="00A55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035703"/>
      <w:docPartObj>
        <w:docPartGallery w:val="Page Numbers (Top of Page)"/>
        <w:docPartUnique/>
      </w:docPartObj>
    </w:sdtPr>
    <w:sdtEndPr>
      <w:rPr>
        <w:noProof/>
      </w:rPr>
    </w:sdtEndPr>
    <w:sdtContent>
      <w:p w:rsidR="00A5539B" w:rsidRDefault="00A5539B">
        <w:pPr>
          <w:pStyle w:val="Header"/>
          <w:jc w:val="right"/>
        </w:pPr>
        <w:r>
          <w:fldChar w:fldCharType="begin"/>
        </w:r>
        <w:r>
          <w:instrText xml:space="preserve"> PAGE   \* MERGEFORMAT </w:instrText>
        </w:r>
        <w:r>
          <w:fldChar w:fldCharType="separate"/>
        </w:r>
        <w:r w:rsidR="00F3648F">
          <w:rPr>
            <w:noProof/>
          </w:rPr>
          <w:t>4</w:t>
        </w:r>
        <w:r>
          <w:rPr>
            <w:noProof/>
          </w:rPr>
          <w:fldChar w:fldCharType="end"/>
        </w:r>
      </w:p>
    </w:sdtContent>
  </w:sdt>
  <w:p w:rsidR="00A5539B" w:rsidRDefault="00A55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370C"/>
    <w:multiLevelType w:val="hybridMultilevel"/>
    <w:tmpl w:val="F21CD3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D747EF"/>
    <w:multiLevelType w:val="hybridMultilevel"/>
    <w:tmpl w:val="BA1090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6131BB"/>
    <w:multiLevelType w:val="hybridMultilevel"/>
    <w:tmpl w:val="BFA001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3407DEF"/>
    <w:multiLevelType w:val="hybridMultilevel"/>
    <w:tmpl w:val="FDAAED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C49"/>
    <w:rsid w:val="003A2F83"/>
    <w:rsid w:val="00415E99"/>
    <w:rsid w:val="005A175B"/>
    <w:rsid w:val="00A5539B"/>
    <w:rsid w:val="00C03C49"/>
    <w:rsid w:val="00C4051D"/>
    <w:rsid w:val="00C510FB"/>
    <w:rsid w:val="00D94988"/>
    <w:rsid w:val="00F3648F"/>
    <w:rsid w:val="00F451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CD5F4-9F55-46B9-9C24-2A2A8EE9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03C49"/>
    <w:pPr>
      <w:widowControl w:val="0"/>
      <w:autoSpaceDE w:val="0"/>
      <w:autoSpaceDN w:val="0"/>
      <w:adjustRightInd w:val="0"/>
      <w:spacing w:after="0" w:line="240" w:lineRule="auto"/>
    </w:pPr>
    <w:rPr>
      <w:rFonts w:ascii="Times New Roman" w:eastAsia="Times New Roman" w:hAnsi="Times New Roman" w:cs="Times New Roman"/>
      <w:szCs w:val="24"/>
      <w:lang w:val="en-US"/>
    </w:rPr>
  </w:style>
  <w:style w:type="paragraph" w:styleId="Heading1">
    <w:name w:val="heading 1"/>
    <w:basedOn w:val="Normal"/>
    <w:next w:val="Normal"/>
    <w:link w:val="Heading1Char"/>
    <w:qFormat/>
    <w:rsid w:val="00C03C49"/>
    <w:pPr>
      <w:keepNext/>
      <w:widowControl/>
      <w:autoSpaceDE/>
      <w:autoSpaceDN/>
      <w:adjustRightInd/>
      <w:jc w:val="both"/>
      <w:outlineLvl w:val="0"/>
    </w:pPr>
    <w:rPr>
      <w:rFonts w:ascii="Bookman Old Style" w:hAnsi="Bookman Old Style"/>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3C49"/>
    <w:rPr>
      <w:rFonts w:eastAsia="Times New Roman" w:cs="Times New Roman"/>
      <w:b/>
      <w:sz w:val="22"/>
      <w:szCs w:val="20"/>
      <w:lang w:val="en-US"/>
    </w:rPr>
  </w:style>
  <w:style w:type="paragraph" w:styleId="BodyText">
    <w:name w:val="Body Text"/>
    <w:basedOn w:val="Normal"/>
    <w:link w:val="BodyTextChar"/>
    <w:rsid w:val="00C03C49"/>
    <w:pPr>
      <w:widowControl/>
      <w:autoSpaceDE/>
      <w:autoSpaceDN/>
      <w:adjustRightInd/>
      <w:jc w:val="both"/>
    </w:pPr>
    <w:rPr>
      <w:rFonts w:ascii="Bookman Old Style" w:hAnsi="Bookman Old Style"/>
      <w:sz w:val="22"/>
      <w:szCs w:val="20"/>
    </w:rPr>
  </w:style>
  <w:style w:type="character" w:customStyle="1" w:styleId="BodyTextChar">
    <w:name w:val="Body Text Char"/>
    <w:basedOn w:val="DefaultParagraphFont"/>
    <w:link w:val="BodyText"/>
    <w:rsid w:val="00C03C49"/>
    <w:rPr>
      <w:rFonts w:eastAsia="Times New Roman" w:cs="Times New Roman"/>
      <w:sz w:val="22"/>
      <w:szCs w:val="20"/>
      <w:lang w:val="en-US"/>
    </w:rPr>
  </w:style>
  <w:style w:type="paragraph" w:styleId="ListParagraph">
    <w:name w:val="List Paragraph"/>
    <w:basedOn w:val="Normal"/>
    <w:uiPriority w:val="34"/>
    <w:qFormat/>
    <w:rsid w:val="00C03C49"/>
    <w:pPr>
      <w:ind w:left="720"/>
      <w:contextualSpacing/>
    </w:pPr>
  </w:style>
  <w:style w:type="character" w:styleId="Hyperlink">
    <w:name w:val="Hyperlink"/>
    <w:basedOn w:val="DefaultParagraphFont"/>
    <w:uiPriority w:val="99"/>
    <w:rsid w:val="00C03C49"/>
    <w:rPr>
      <w:rFonts w:cs="Times New Roman"/>
      <w:color w:val="0000FF"/>
      <w:u w:val="single"/>
    </w:rPr>
  </w:style>
  <w:style w:type="paragraph" w:styleId="Header">
    <w:name w:val="header"/>
    <w:basedOn w:val="Normal"/>
    <w:link w:val="HeaderChar"/>
    <w:uiPriority w:val="99"/>
    <w:unhideWhenUsed/>
    <w:rsid w:val="00A5539B"/>
    <w:pPr>
      <w:tabs>
        <w:tab w:val="center" w:pos="4680"/>
        <w:tab w:val="right" w:pos="9360"/>
      </w:tabs>
    </w:pPr>
  </w:style>
  <w:style w:type="character" w:customStyle="1" w:styleId="HeaderChar">
    <w:name w:val="Header Char"/>
    <w:basedOn w:val="DefaultParagraphFont"/>
    <w:link w:val="Header"/>
    <w:uiPriority w:val="99"/>
    <w:rsid w:val="00A5539B"/>
    <w:rPr>
      <w:rFonts w:ascii="Times New Roman" w:eastAsia="Times New Roman" w:hAnsi="Times New Roman" w:cs="Times New Roman"/>
      <w:szCs w:val="24"/>
      <w:lang w:val="en-US"/>
    </w:rPr>
  </w:style>
  <w:style w:type="paragraph" w:styleId="Footer">
    <w:name w:val="footer"/>
    <w:basedOn w:val="Normal"/>
    <w:link w:val="FooterChar"/>
    <w:uiPriority w:val="99"/>
    <w:unhideWhenUsed/>
    <w:rsid w:val="00A5539B"/>
    <w:pPr>
      <w:tabs>
        <w:tab w:val="center" w:pos="4680"/>
        <w:tab w:val="right" w:pos="9360"/>
      </w:tabs>
    </w:pPr>
  </w:style>
  <w:style w:type="character" w:customStyle="1" w:styleId="FooterChar">
    <w:name w:val="Footer Char"/>
    <w:basedOn w:val="DefaultParagraphFont"/>
    <w:link w:val="Footer"/>
    <w:uiPriority w:val="99"/>
    <w:rsid w:val="00A5539B"/>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sternusc.ca/services/" TargetMode="External"/><Relationship Id="rId3" Type="http://schemas.openxmlformats.org/officeDocument/2006/relationships/settings" Target="settings.xml"/><Relationship Id="rId7" Type="http://schemas.openxmlformats.org/officeDocument/2006/relationships/hyperlink" Target="http://www.turnit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1325</Words>
  <Characters>7808</Characters>
  <Application>Microsoft Office Word</Application>
  <DocSecurity>0</DocSecurity>
  <Lines>205</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Brenda Sefeldas</cp:lastModifiedBy>
  <cp:revision>2</cp:revision>
  <dcterms:created xsi:type="dcterms:W3CDTF">2017-01-03T13:57:00Z</dcterms:created>
  <dcterms:modified xsi:type="dcterms:W3CDTF">2017-01-03T13:57:00Z</dcterms:modified>
</cp:coreProperties>
</file>